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853"/>
      </w:tblGrid>
      <w:tr w:rsidTr="000A5095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853" w:type="dxa"/>
            <w:shd w:val="clear" w:color="auto" w:fill="auto"/>
          </w:tcPr>
          <w:p w:rsidR="000A5095" w:rsidRPr="000A5095">
            <w:pPr>
              <w:tabs>
                <w:tab w:val="left" w:pos="851"/>
              </w:tabs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C0000"/>
                <w:sz w:val="24"/>
              </w:rPr>
              <w:t>исх</w:t>
            </w:r>
            <w:r>
              <w:rPr>
                <w:rFonts w:ascii="Times New Roman" w:hAnsi="Times New Roman" w:cs="Times New Roman"/>
                <w:color w:val="0C0000"/>
                <w:sz w:val="24"/>
              </w:rPr>
              <w:t>: 15-13-208 д/з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 от: 26.06.2019</w:t>
            </w:r>
          </w:p>
        </w:tc>
      </w:tr>
    </w:tbl>
    <w:p w:rsidR="003C620C">
      <w:pPr>
        <w:tabs>
          <w:tab w:val="left" w:pos="851"/>
        </w:tabs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0;margin-top:0;position:absolute;width:513.1pt;z-index:-251658240" o:oleicon="f">
            <v:imagedata r:id="rId5" o:title=""/>
          </v:shape>
          <o:OLEObject Type="Embed" ProgID="CorelDRAW.Graphic.14" ShapeID="_x0000_s1025" DrawAspect="Content" ObjectID="_1623077849" r:id="rId6"/>
        </w:pict>
      </w:r>
    </w:p>
    <w:p w:rsidR="003C620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3C620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3C620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3C620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3C620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3C620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3C620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3C620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3C620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3C620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3C620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3C620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3C620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3C620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3C620C">
      <w:pPr>
        <w:tabs>
          <w:tab w:val="left" w:pos="709"/>
          <w:tab w:val="left" w:pos="851"/>
        </w:tabs>
        <w:spacing w:after="0" w:line="271" w:lineRule="auto"/>
        <w:ind w:left="56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left="56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left="56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Премьер-Министру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Республики Казахстан 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Мамину А.У.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Уважаемый Аскар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Узакпаевич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данного депутатского запроса послужила ситуация, которая сложилась вокруг деятельности АО «Фонд науки», определенного Оператором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финансированию коммерциализации результатов научной и (или) научно-технической деятельности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РННТД).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Во-первых,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 Республики Казахстан по делам государственной службы и противодействию коррупции (далее – Агентство) считает, что АО «Фонд науки» не может быть оператором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в связи с его несоответствием пункту 7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 26 Закона Республики Казахстан «О науке». Эта позиция отражена в пункте 4 Протокола селекторного совещания Агентства от 29 мая 2019 года.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Во-вторых,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 стоит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вопрос освобождения от корпоративного подоходного налога и налога на добавленную стоимость (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далее – КПН и НДС) научно-исследовательских работ и проектов РННТД, финансируемых за счет средств грантов, в том числе Оператора.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первой проблеме считаем необходимым отметить следующее.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согласно пункт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статьи 26 Закона Республики Казахстан «О науке», определено,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может быть осуществлено уполномоченным органом или отраслевым уполномоченным органом, объявившим конкурс, либо иным лицом, уполномоченным Правительством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 на осуществление финансирования научной и (или) научно-технической деятельности. 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грантовое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финансирование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коммерциализации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РННТД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регулируется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Законом Республики Казахстан 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коммерциализации результатов научной и (или) научно-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технической деятельности»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Следует отметить, что, согласно пункту 3 статьи 12 Закона Республики Казахстан «О правовых актах»,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 наличии противоречий в нормах нормативных правовых актов одного уровня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действуют нормы акта, позднее введенные в действие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 «О коммерциализации РННТД» был принят 31 октября 2015 года, а Закон «О науке» 18 февраля 2011 года.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подпункту 4) статьи 4 Закона РК «О коммерциализации РННТД», в компетенцию уполномоченного органа в области науки входит утверждение </w:t>
      </w:r>
      <w:bookmarkStart w:id="1" w:name="SUB1004961045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instrText xml:space="preserve"> HYPERLI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instrText>NK "https://online.zakon.kz/Document/?doc_id=37680455" \l "sub_id=100" \o "Приказ и.о. Министра образования и науки Республики Казахстан от 31 декабря 2015 года № 718 \«Об утверждении Правил финансирования проектов коммерциализации результатов научной и (и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instrText xml:space="preserve">ли) научно-технической деятельности\» (с изменениями от 24.04.2017 г.)" \t "_parent" 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563C1"/>
          <w:sz w:val="28"/>
          <w:szCs w:val="28"/>
          <w:u w:val="single"/>
          <w:lang w:eastAsia="ru-RU"/>
        </w:rPr>
        <w:t>порядка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end"/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финансирования проектов коммерциализации результатов научной и (или) научно-технической деятельности.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порядок,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финансирования проектов коммерциализации результатов научной и (или) научно-технической деятельности (далее – Правила)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были утверждены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Министра образования и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от 31 декабря 2015 года № 718. (Зарегистрирован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Министерстве юстиции Республики Казахстан 31 декабря 2015 года № 12775). 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5) пункта 3 ) статьи 1 указанных Правил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Оператор (Заказчик)- это уполномоченный орган в области науки (далее – уполномоченный орган), отраслевые уполномо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ченные органы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либо иные юридические лица,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имеющие необходимый опыт по организации осуществления коммерциализации результатов научной и (или) научно-технической деятельности, в том числе по организации проведения конкурса в целях отбора проектов и их финанс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ирования, проведению экономической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экспертизы и осуществлению мониторинга эффективности использования средств и результативности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грантового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финансирования.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Иные юридические лица в качестве оператора определяются в соответствии с приказом уполномоченного ор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гана или отраслевых уполномоченных органов.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ОН РК от 17 мая 2016 года №319 АО «Фонд науки»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было определено Оператором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финансированию коммерциализации РННТД. 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начиная с 2016 года по текущее время 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егодно постановлением Правительства РК «О реализации Закона РК «О республиканском бюджете на 2017 – 2019 годы» утверждается перечень государственных заданий, в котором отдельной строкой АО «Фонд науки» определено юридическим лицом, осуществляющим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коммерциализации РННТД, что соответствует пункту 7 статьи 26 Закона Республики Казахстан «О науке».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наш взгляд,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Фонд определен Оператором противоречий не наблюдается. Более того, весь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коммерциализации РННТД находится под контролем государственного органа.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Касательно уплаты налогов отметим следующее. 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Статьями 289, 290 и 394 Налогового кодекса РК предусмотрены организации, которые освобождаются от уплаты налогов по КПН и НДС.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Вместе с тем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анные нормы не распространяются на </w:t>
      </w:r>
      <w:r>
        <w:rPr>
          <w:rFonts w:ascii="Times New Roman" w:eastAsia="Calibri" w:hAnsi="Times New Roman" w:cs="Times New Roman"/>
          <w:sz w:val="28"/>
          <w:szCs w:val="28"/>
        </w:rPr>
        <w:t>грантовое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финансирование коммерциализации РННТД, осуществляемое Фондом.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Фондом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грантовое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финансирование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153 проектов</w:t>
      </w:r>
      <w:r>
        <w:rPr>
          <w:rFonts w:ascii="Times New Roman" w:eastAsia="Calibri" w:hAnsi="Times New Roman" w:cs="Times New Roman"/>
          <w:sz w:val="28"/>
          <w:szCs w:val="28"/>
        </w:rPr>
        <w:t>. В связи с тем, что положения статьи 394 Налогового кодек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 не распространяются на </w:t>
      </w:r>
      <w:r>
        <w:rPr>
          <w:rFonts w:ascii="Times New Roman" w:eastAsia="Calibri" w:hAnsi="Times New Roman" w:cs="Times New Roman"/>
          <w:sz w:val="28"/>
          <w:szCs w:val="28"/>
        </w:rPr>
        <w:t>грантовое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финансирование проектов коммерциализации, при финансировании таких проектов НДС удерживается, и с </w:t>
      </w:r>
      <w:r>
        <w:rPr>
          <w:rFonts w:ascii="Times New Roman" w:eastAsia="Calibri" w:hAnsi="Times New Roman" w:cs="Times New Roman"/>
          <w:sz w:val="28"/>
          <w:szCs w:val="28"/>
        </w:rPr>
        <w:t>грантополучаетелей</w:t>
      </w:r>
      <w:r>
        <w:rPr>
          <w:rFonts w:ascii="Times New Roman" w:eastAsia="Calibri" w:hAnsi="Times New Roman" w:cs="Times New Roman"/>
          <w:sz w:val="28"/>
          <w:szCs w:val="28"/>
        </w:rPr>
        <w:t>, и с Фонда.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Так, с 2016 по 2018 годы Фондом и </w:t>
      </w:r>
      <w:r>
        <w:rPr>
          <w:rFonts w:ascii="Times New Roman" w:eastAsia="Calibri" w:hAnsi="Times New Roman" w:cs="Times New Roman"/>
          <w:sz w:val="28"/>
          <w:szCs w:val="28"/>
        </w:rPr>
        <w:t>грантополучателями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было уплачено налогов в бюджет государ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ства на общую сумму </w:t>
      </w:r>
      <w:r>
        <w:rPr>
          <w:rFonts w:ascii="Times New Roman" w:eastAsia="Calibri" w:hAnsi="Times New Roman" w:cs="Times New Roman"/>
          <w:b/>
          <w:sz w:val="28"/>
          <w:szCs w:val="28"/>
        </w:rPr>
        <w:t>1 млрд 341 млн тенге</w:t>
      </w:r>
      <w:r>
        <w:rPr>
          <w:rFonts w:ascii="Times New Roman" w:eastAsia="Calibri" w:hAnsi="Times New Roman" w:cs="Times New Roman"/>
          <w:sz w:val="28"/>
          <w:szCs w:val="28"/>
        </w:rPr>
        <w:t>. Эти средства можно было направить на финансирование других проектов коммерциализации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Это могло привести к мультипликативному эффекту, в том числе к созданию новых рабочих мест.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Считаем, что оптимизация </w:t>
      </w:r>
      <w:r>
        <w:rPr>
          <w:rFonts w:ascii="Times New Roman" w:eastAsia="Calibri" w:hAnsi="Times New Roman" w:cs="Times New Roman"/>
          <w:sz w:val="28"/>
          <w:szCs w:val="28"/>
        </w:rPr>
        <w:t>грантового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финансирования коммерциализации проектов, включая привлечение </w:t>
      </w:r>
      <w:r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проектов со стороны субъектов малого и среднего бизнеса, требует своего неотлагательного решения путем совершенствования законодательства, в том числе внесения дополнений в стат</w:t>
      </w:r>
      <w:r>
        <w:rPr>
          <w:rFonts w:ascii="Times New Roman" w:eastAsia="Calibri" w:hAnsi="Times New Roman" w:cs="Times New Roman"/>
          <w:sz w:val="28"/>
          <w:szCs w:val="28"/>
        </w:rPr>
        <w:t>ьи Налогового кодекса РК.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 просим Вас, Аскар </w:t>
      </w:r>
      <w:r>
        <w:rPr>
          <w:rFonts w:ascii="Times New Roman" w:eastAsia="Calibri" w:hAnsi="Times New Roman" w:cs="Times New Roman"/>
          <w:sz w:val="28"/>
          <w:szCs w:val="28"/>
        </w:rPr>
        <w:t>Узакпаевич</w:t>
      </w:r>
      <w:r>
        <w:rPr>
          <w:rFonts w:ascii="Times New Roman" w:eastAsia="Calibri" w:hAnsi="Times New Roman" w:cs="Times New Roman"/>
          <w:sz w:val="28"/>
          <w:szCs w:val="28"/>
        </w:rPr>
        <w:t>, оказать содействие в разрешении вышеуказанных проблем согласно действующим законодательным и нормативно-правовым актам.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информации сообщаем, что в течение 2018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годов комитеты Сената Парламента Республики Казахстан, в том числе с участием Председателя Сената Парламента Республики Казахстан, неоднократно проводили выездные заседания в Фонде и в целом пришли к мнению, что Фонд функционирует эффективно и остро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в государственной поддержке на законодательном уровне. 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27 Конституционного закона Республики Казахстан «О Парламенте Республики Казахстан и статусе его депутатов» просим о результатах рассмотрения депутатского запроса 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ответ в установленный законом срок.       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left="7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left="7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Е. Мамытбеков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Бейсенбаев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Енсегенов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Бортник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Жолдасбаев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Кубенов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71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Куртаев</w:t>
      </w:r>
    </w:p>
    <w:p w:rsidR="003C620C">
      <w:pPr>
        <w:tabs>
          <w:tab w:val="left" w:pos="709"/>
          <w:tab w:val="left" w:pos="851"/>
          <w:tab w:val="center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31849B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31849B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31849B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31849B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31849B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31849B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31849B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31849B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31849B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31849B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31849B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31849B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С. Плотников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Б. </w:t>
      </w:r>
      <w:r>
        <w:rPr>
          <w:rFonts w:ascii="Times New Roman" w:eastAsia="Calibri" w:hAnsi="Times New Roman" w:cs="Times New Roman"/>
          <w:b/>
          <w:sz w:val="28"/>
          <w:szCs w:val="28"/>
        </w:rPr>
        <w:t>Жумагулов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A5095">
      <w:pPr>
        <w:tabs>
          <w:tab w:val="left" w:pos="709"/>
          <w:tab w:val="left" w:pos="851"/>
          <w:tab w:val="center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095" w:rsidRPr="000A5095" w:rsidP="000A5095">
      <w:pPr>
        <w:tabs>
          <w:tab w:val="left" w:pos="709"/>
          <w:tab w:val="left" w:pos="851"/>
          <w:tab w:val="center" w:pos="1276"/>
        </w:tabs>
        <w:spacing w:after="0" w:line="240" w:lineRule="auto"/>
        <w:rPr>
          <w:rFonts w:ascii="Times New Roman" w:eastAsia="Calibri" w:hAnsi="Times New Roman" w:cs="Times New Roman"/>
          <w:color w:val="0C0000"/>
          <w:sz w:val="20"/>
          <w:szCs w:val="28"/>
        </w:rPr>
      </w:pPr>
      <w:r>
        <w:rPr>
          <w:rFonts w:ascii="Times New Roman" w:eastAsia="Calibri" w:hAnsi="Times New Roman" w:cs="Times New Roman"/>
          <w:color w:val="0C0000"/>
          <w:sz w:val="20"/>
          <w:szCs w:val="28"/>
        </w:rPr>
        <w:br/>
      </w:r>
    </w:p>
    <w:sectPr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35477137"/>
      <w:docPartObj>
        <w:docPartGallery w:val="Page Numbers (Top of Page)"/>
        <w:docPartUnique/>
      </w:docPartObj>
    </w:sdtPr>
    <w:sdtContent>
      <w:p w:rsidR="003C620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C620C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height:631.4pt;margin-left:494.4pt;margin-top:35.3pt;mso-wrap-style:square;position:absolute;width:30pt;z-index:251658240" stroked="f">
          <v:textbox style="layout-flow:vertical;mso-layout-flow-alt:bottom-to-top">
            <w:txbxContent>
              <w:p w:rsidR="000A5095" w:rsidRPr="000A509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26.06.2019 ЕСЭДО ГО (версия 7.23.0)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a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2AB28-64FD-4AB5-8221-24CDF3E6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