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Look w:val="0000"/>
      </w:tblPr>
      <w:tblGrid>
        <w:gridCol w:w="9637"/>
      </w:tblGrid>
      <w:tr w:rsidTr="00C125EC">
        <w:tblPrEx>
          <w:tblW w:w="0" w:type="auto"/>
          <w:tblLayout w:type="fixed"/>
          <w:tblLook w:val="0000"/>
        </w:tblPrEx>
        <w:tc>
          <w:tcPr>
            <w:tcW w:w="9637" w:type="dxa"/>
            <w:shd w:val="clear" w:color="auto" w:fill="auto"/>
          </w:tcPr>
          <w:p w:rsidR="00C125EC" w:rsidP="00C125EC">
            <w:pPr>
              <w:spacing w:after="0" w:line="240" w:lineRule="auto"/>
              <w:rPr>
                <w:rFonts w:ascii="Times New Roman" w:eastAsia="Times New Roman" w:hAnsi="Times New Roman"/>
                <w:color w:val="0C0000"/>
                <w:sz w:val="24"/>
                <w:szCs w:val="24"/>
                <w:lang w:eastAsia="ru-RU"/>
              </w:rPr>
            </w:pPr>
            <w:r>
              <w:rPr>
                <w:rFonts w:ascii="Times New Roman" w:eastAsia="Times New Roman" w:hAnsi="Times New Roman"/>
                <w:color w:val="0C0000"/>
                <w:sz w:val="24"/>
                <w:szCs w:val="24"/>
                <w:lang w:eastAsia="ru-RU"/>
              </w:rPr>
              <w:t xml:space="preserve">№ </w:t>
            </w:r>
            <w:r>
              <w:rPr>
                <w:rFonts w:ascii="Times New Roman" w:eastAsia="Times New Roman" w:hAnsi="Times New Roman"/>
                <w:color w:val="0C0000"/>
                <w:sz w:val="24"/>
                <w:szCs w:val="24"/>
                <w:lang w:eastAsia="ru-RU"/>
              </w:rPr>
              <w:t>исх</w:t>
            </w:r>
            <w:r>
              <w:rPr>
                <w:rFonts w:ascii="Times New Roman" w:eastAsia="Times New Roman" w:hAnsi="Times New Roman"/>
                <w:color w:val="0C0000"/>
                <w:sz w:val="24"/>
                <w:szCs w:val="24"/>
                <w:lang w:eastAsia="ru-RU"/>
              </w:rPr>
              <w:t xml:space="preserve">: 23-09/371 </w:t>
            </w:r>
            <w:r>
              <w:rPr>
                <w:rFonts w:ascii="Times New Roman" w:eastAsia="Times New Roman" w:hAnsi="Times New Roman"/>
                <w:color w:val="0C0000"/>
                <w:sz w:val="24"/>
                <w:szCs w:val="24"/>
                <w:lang w:eastAsia="ru-RU"/>
              </w:rPr>
              <w:t>дз</w:t>
            </w:r>
            <w:r>
              <w:rPr>
                <w:rFonts w:ascii="Times New Roman" w:eastAsia="Times New Roman" w:hAnsi="Times New Roman"/>
                <w:color w:val="0C0000"/>
                <w:sz w:val="24"/>
                <w:szCs w:val="24"/>
                <w:lang w:eastAsia="ru-RU"/>
              </w:rPr>
              <w:t xml:space="preserve">   от: 22.02.2022</w:t>
            </w:r>
          </w:p>
          <w:p w:rsidR="00C125EC" w:rsidRPr="00C125EC" w:rsidP="00C125EC">
            <w:pPr>
              <w:spacing w:after="0" w:line="240" w:lineRule="auto"/>
              <w:rPr>
                <w:rFonts w:ascii="Times New Roman" w:eastAsia="Times New Roman" w:hAnsi="Times New Roman"/>
                <w:color w:val="0C0000"/>
                <w:sz w:val="24"/>
                <w:szCs w:val="24"/>
                <w:lang w:eastAsia="ru-RU"/>
              </w:rPr>
            </w:pPr>
            <w:r>
              <w:rPr>
                <w:rFonts w:ascii="Times New Roman" w:eastAsia="Times New Roman" w:hAnsi="Times New Roman"/>
                <w:color w:val="0C0000"/>
                <w:sz w:val="24"/>
                <w:szCs w:val="24"/>
                <w:lang w:eastAsia="ru-RU"/>
              </w:rPr>
              <w:t xml:space="preserve">№ </w:t>
            </w:r>
            <w:r>
              <w:rPr>
                <w:rFonts w:ascii="Times New Roman" w:eastAsia="Times New Roman" w:hAnsi="Times New Roman"/>
                <w:color w:val="0C0000"/>
                <w:sz w:val="24"/>
                <w:szCs w:val="24"/>
                <w:lang w:eastAsia="ru-RU"/>
              </w:rPr>
              <w:t>вх.647//23-09/371дз  от</w:t>
            </w:r>
            <w:r>
              <w:rPr>
                <w:rFonts w:ascii="Times New Roman" w:eastAsia="Times New Roman" w:hAnsi="Times New Roman"/>
                <w:color w:val="0C0000"/>
                <w:sz w:val="24"/>
                <w:szCs w:val="24"/>
                <w:lang w:eastAsia="ru-RU"/>
              </w:rPr>
              <w:t>: 23.02.2022</w:t>
            </w:r>
          </w:p>
        </w:tc>
      </w:tr>
    </w:tbl>
    <w:p w:rsidR="0076035A" w:rsidRPr="0006152D" w:rsidP="00C125EC">
      <w:pPr>
        <w:spacing w:after="0" w:line="240" w:lineRule="auto"/>
        <w:ind w:left="5954"/>
        <w:rPr>
          <w:rFonts w:ascii="Times New Roman" w:eastAsia="Times New Roman" w:hAnsi="Times New Roman"/>
          <w:b/>
          <w:szCs w:val="24"/>
          <w:lang w:eastAsia="ru-RU"/>
        </w:rPr>
      </w:pPr>
    </w:p>
    <w:p w:rsidR="00206399" w:rsidRPr="0006152D" w:rsidP="0076035A">
      <w:pPr>
        <w:spacing w:after="0" w:line="240" w:lineRule="auto"/>
        <w:ind w:left="5954"/>
        <w:jc w:val="center"/>
        <w:rPr>
          <w:rFonts w:ascii="Times New Roman" w:eastAsia="Times New Roman" w:hAnsi="Times New Roman"/>
          <w:b/>
          <w:szCs w:val="24"/>
          <w:lang w:eastAsia="ru-RU"/>
        </w:rPr>
      </w:pPr>
    </w:p>
    <w:p w:rsidR="0006152D" w:rsidRPr="0006152D" w:rsidP="0006152D">
      <w:pPr>
        <w:tabs>
          <w:tab w:val="left" w:pos="540"/>
          <w:tab w:val="left" w:pos="993"/>
        </w:tabs>
        <w:spacing w:after="0" w:line="240" w:lineRule="auto"/>
        <w:ind w:left="6663"/>
        <w:jc w:val="center"/>
        <w:rPr>
          <w:rFonts w:ascii="Times New Roman" w:eastAsia="Times New Roman" w:hAnsi="Times New Roman"/>
          <w:b/>
          <w:sz w:val="28"/>
          <w:szCs w:val="28"/>
          <w:lang w:eastAsia="ru-RU"/>
        </w:rPr>
      </w:pPr>
      <w:r w:rsidRPr="0006152D">
        <w:rPr>
          <w:rFonts w:ascii="Times New Roman" w:eastAsia="Times New Roman" w:hAnsi="Times New Roman"/>
          <w:b/>
          <w:sz w:val="28"/>
          <w:szCs w:val="28"/>
          <w:lang w:eastAsia="ru-RU"/>
        </w:rPr>
        <w:t>Депутату</w:t>
      </w:r>
    </w:p>
    <w:p w:rsidR="0006152D" w:rsidRPr="0006152D" w:rsidP="0006152D">
      <w:pPr>
        <w:tabs>
          <w:tab w:val="left" w:pos="540"/>
          <w:tab w:val="left" w:pos="993"/>
        </w:tabs>
        <w:spacing w:after="0" w:line="240" w:lineRule="auto"/>
        <w:ind w:left="6663"/>
        <w:jc w:val="center"/>
        <w:rPr>
          <w:rFonts w:ascii="Times New Roman" w:eastAsia="Times New Roman" w:hAnsi="Times New Roman"/>
          <w:b/>
          <w:sz w:val="28"/>
          <w:szCs w:val="28"/>
          <w:lang w:eastAsia="ru-RU"/>
        </w:rPr>
      </w:pPr>
      <w:r w:rsidRPr="0006152D">
        <w:rPr>
          <w:rFonts w:ascii="Times New Roman" w:eastAsia="Times New Roman" w:hAnsi="Times New Roman"/>
          <w:b/>
          <w:sz w:val="28"/>
          <w:szCs w:val="28"/>
          <w:lang w:eastAsia="ru-RU"/>
        </w:rPr>
        <w:t>Сената Парламента</w:t>
      </w:r>
    </w:p>
    <w:p w:rsidR="0006152D" w:rsidRPr="0006152D" w:rsidP="0006152D">
      <w:pPr>
        <w:tabs>
          <w:tab w:val="left" w:pos="540"/>
          <w:tab w:val="left" w:pos="993"/>
        </w:tabs>
        <w:spacing w:after="0" w:line="240" w:lineRule="auto"/>
        <w:ind w:left="6663"/>
        <w:jc w:val="center"/>
        <w:rPr>
          <w:rFonts w:ascii="Times New Roman" w:eastAsia="Times New Roman" w:hAnsi="Times New Roman"/>
          <w:b/>
          <w:sz w:val="28"/>
          <w:szCs w:val="28"/>
          <w:lang w:eastAsia="ru-RU"/>
        </w:rPr>
      </w:pPr>
      <w:r w:rsidRPr="0006152D">
        <w:rPr>
          <w:rFonts w:ascii="Times New Roman" w:eastAsia="Times New Roman" w:hAnsi="Times New Roman"/>
          <w:b/>
          <w:sz w:val="28"/>
          <w:szCs w:val="28"/>
          <w:lang w:eastAsia="ru-RU"/>
        </w:rPr>
        <w:t>Республики Казахстан</w:t>
      </w:r>
    </w:p>
    <w:p w:rsidR="0006152D" w:rsidRPr="0006152D" w:rsidP="0006152D">
      <w:pPr>
        <w:tabs>
          <w:tab w:val="left" w:pos="540"/>
          <w:tab w:val="left" w:pos="993"/>
        </w:tabs>
        <w:spacing w:after="0" w:line="240" w:lineRule="auto"/>
        <w:ind w:left="6663"/>
        <w:jc w:val="center"/>
        <w:rPr>
          <w:rFonts w:ascii="Times New Roman" w:eastAsia="Times New Roman" w:hAnsi="Times New Roman"/>
          <w:b/>
          <w:sz w:val="28"/>
          <w:szCs w:val="28"/>
          <w:lang w:eastAsia="ru-RU"/>
        </w:rPr>
      </w:pPr>
      <w:r w:rsidRPr="0006152D">
        <w:rPr>
          <w:rFonts w:ascii="Times New Roman" w:eastAsia="Times New Roman" w:hAnsi="Times New Roman"/>
          <w:b/>
          <w:sz w:val="28"/>
          <w:szCs w:val="28"/>
          <w:lang w:eastAsia="ru-RU"/>
        </w:rPr>
        <w:t>Лукину А.И.</w:t>
      </w:r>
    </w:p>
    <w:p w:rsidR="0006152D" w:rsidRPr="0006152D" w:rsidP="0006152D">
      <w:pPr>
        <w:tabs>
          <w:tab w:val="left" w:pos="0"/>
          <w:tab w:val="left" w:pos="540"/>
          <w:tab w:val="left" w:pos="993"/>
        </w:tabs>
        <w:spacing w:after="0" w:line="240" w:lineRule="auto"/>
        <w:ind w:left="5812"/>
        <w:jc w:val="center"/>
        <w:rPr>
          <w:rFonts w:ascii="Times New Roman" w:eastAsia="Times New Roman" w:hAnsi="Times New Roman"/>
          <w:b/>
          <w:sz w:val="28"/>
          <w:szCs w:val="28"/>
          <w:lang w:eastAsia="ru-RU"/>
        </w:rPr>
      </w:pPr>
    </w:p>
    <w:p w:rsidR="0006152D" w:rsidRPr="0006152D" w:rsidP="0006152D">
      <w:pPr>
        <w:spacing w:after="0" w:line="240" w:lineRule="auto"/>
        <w:rPr>
          <w:rFonts w:ascii="Times New Roman" w:eastAsia="Times New Roman" w:hAnsi="Times New Roman"/>
          <w:i/>
          <w:sz w:val="24"/>
          <w:szCs w:val="28"/>
          <w:lang w:eastAsia="ru-RU"/>
        </w:rPr>
      </w:pPr>
      <w:r w:rsidRPr="0006152D">
        <w:rPr>
          <w:rFonts w:ascii="Times New Roman" w:eastAsia="Times New Roman" w:hAnsi="Times New Roman"/>
          <w:i/>
          <w:sz w:val="24"/>
          <w:szCs w:val="28"/>
          <w:lang w:eastAsia="ru-RU"/>
        </w:rPr>
        <w:t>На № 16-13-60Д/С от 27 января 2022 года</w:t>
      </w:r>
    </w:p>
    <w:p w:rsidR="0006152D" w:rsidRPr="0006152D" w:rsidP="0006152D">
      <w:pPr>
        <w:spacing w:after="0" w:line="240" w:lineRule="auto"/>
        <w:rPr>
          <w:rFonts w:ascii="Times New Roman" w:eastAsia="Times New Roman" w:hAnsi="Times New Roman"/>
          <w:sz w:val="28"/>
          <w:szCs w:val="28"/>
          <w:lang w:eastAsia="ru-RU"/>
        </w:rPr>
      </w:pPr>
    </w:p>
    <w:p w:rsidR="0006152D" w:rsidRPr="0006152D" w:rsidP="0006152D">
      <w:pPr>
        <w:spacing w:after="0" w:line="240" w:lineRule="auto"/>
        <w:rPr>
          <w:rFonts w:ascii="Times New Roman" w:eastAsia="Times New Roman" w:hAnsi="Times New Roman"/>
          <w:sz w:val="28"/>
          <w:szCs w:val="28"/>
          <w:lang w:eastAsia="ru-RU"/>
        </w:rPr>
      </w:pPr>
    </w:p>
    <w:p w:rsidR="0006152D" w:rsidRPr="0006152D" w:rsidP="0006152D">
      <w:pPr>
        <w:spacing w:after="0" w:line="240" w:lineRule="auto"/>
        <w:jc w:val="center"/>
        <w:rPr>
          <w:rFonts w:ascii="Times New Roman" w:eastAsia="Times New Roman" w:hAnsi="Times New Roman"/>
          <w:b/>
          <w:sz w:val="28"/>
          <w:szCs w:val="28"/>
          <w:lang w:eastAsia="ru-RU"/>
        </w:rPr>
      </w:pPr>
      <w:r w:rsidRPr="0006152D">
        <w:rPr>
          <w:rFonts w:ascii="Times New Roman" w:eastAsia="Times New Roman" w:hAnsi="Times New Roman"/>
          <w:b/>
          <w:sz w:val="28"/>
          <w:szCs w:val="28"/>
          <w:lang w:eastAsia="ru-RU"/>
        </w:rPr>
        <w:t>Уважаемый Андрей Иванович!</w:t>
      </w:r>
    </w:p>
    <w:p w:rsidR="0006152D" w:rsidRPr="0006152D" w:rsidP="0006152D">
      <w:pPr>
        <w:spacing w:after="0" w:line="240" w:lineRule="auto"/>
        <w:rPr>
          <w:rFonts w:ascii="Times New Roman" w:eastAsia="Times New Roman" w:hAnsi="Times New Roman"/>
          <w:sz w:val="28"/>
          <w:szCs w:val="28"/>
          <w:lang w:eastAsia="ru-RU"/>
        </w:rPr>
      </w:pPr>
    </w:p>
    <w:p w:rsidR="0006152D" w:rsidRPr="0006152D" w:rsidP="0006152D">
      <w:pPr>
        <w:widowControl w:val="0"/>
        <w:tabs>
          <w:tab w:val="left" w:pos="-709"/>
          <w:tab w:val="left" w:pos="709"/>
          <w:tab w:val="left" w:pos="993"/>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lang w:eastAsia="ru-RU"/>
        </w:rPr>
        <w:t>Рассмотрев ваш депутатский запрос касательно</w:t>
      </w:r>
      <w:r w:rsidRPr="0006152D">
        <w:rPr>
          <w:rFonts w:eastAsia="Times New Roman"/>
          <w:lang w:eastAsia="ru-RU"/>
        </w:rPr>
        <w:t xml:space="preserve"> </w:t>
      </w:r>
      <w:r w:rsidRPr="0006152D">
        <w:rPr>
          <w:rFonts w:ascii="Times New Roman" w:eastAsia="Times New Roman" w:hAnsi="Times New Roman"/>
          <w:sz w:val="28"/>
          <w:lang w:eastAsia="ru-RU"/>
        </w:rPr>
        <w:t>законодательного усиления мер в сфере оборота оружия</w:t>
      </w:r>
      <w:r w:rsidRPr="0006152D">
        <w:rPr>
          <w:rFonts w:ascii="Times New Roman" w:eastAsia="Times New Roman" w:hAnsi="Times New Roman"/>
          <w:sz w:val="28"/>
          <w:szCs w:val="28"/>
          <w:lang w:eastAsia="ru-RU"/>
        </w:rPr>
        <w:t>, сообщаю следующее.</w:t>
      </w:r>
    </w:p>
    <w:p w:rsidR="0006152D" w:rsidRPr="0006152D" w:rsidP="0006152D">
      <w:pPr>
        <w:widowControl w:val="0"/>
        <w:tabs>
          <w:tab w:val="left" w:pos="-709"/>
          <w:tab w:val="left" w:pos="993"/>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 xml:space="preserve">По информации Министерства внутренних дел </w:t>
      </w:r>
      <w:r w:rsidRPr="0006152D">
        <w:rPr>
          <w:rFonts w:ascii="Times New Roman" w:eastAsia="Times New Roman" w:hAnsi="Times New Roman"/>
          <w:i/>
          <w:sz w:val="24"/>
          <w:szCs w:val="28"/>
          <w:lang w:eastAsia="ru-RU"/>
        </w:rPr>
        <w:t xml:space="preserve">(далее – МВД) </w:t>
      </w:r>
      <w:r w:rsidRPr="0006152D">
        <w:rPr>
          <w:rFonts w:ascii="Times New Roman" w:eastAsia="Times New Roman" w:hAnsi="Times New Roman"/>
          <w:sz w:val="28"/>
          <w:szCs w:val="28"/>
          <w:lang w:eastAsia="ru-RU"/>
        </w:rPr>
        <w:t xml:space="preserve">принятые </w:t>
      </w:r>
      <w:r>
        <w:rPr>
          <w:rFonts w:ascii="Times New Roman" w:eastAsia="Times New Roman" w:hAnsi="Times New Roman"/>
          <w:sz w:val="28"/>
          <w:szCs w:val="28"/>
          <w:lang w:eastAsia="ru-RU"/>
        </w:rPr>
        <w:br/>
      </w:r>
      <w:r w:rsidRPr="0006152D">
        <w:rPr>
          <w:rFonts w:ascii="Times New Roman" w:eastAsia="Times New Roman" w:hAnsi="Times New Roman"/>
          <w:sz w:val="28"/>
          <w:szCs w:val="28"/>
          <w:lang w:eastAsia="ru-RU"/>
        </w:rPr>
        <w:t xml:space="preserve">в 2011-2016 годах меры позволили существенно повысить требования </w:t>
      </w:r>
      <w:r>
        <w:rPr>
          <w:rFonts w:ascii="Times New Roman" w:eastAsia="Times New Roman" w:hAnsi="Times New Roman"/>
          <w:sz w:val="28"/>
          <w:szCs w:val="28"/>
          <w:lang w:eastAsia="ru-RU"/>
        </w:rPr>
        <w:br/>
      </w:r>
      <w:r w:rsidRPr="0006152D">
        <w:rPr>
          <w:rFonts w:ascii="Times New Roman" w:eastAsia="Times New Roman" w:hAnsi="Times New Roman"/>
          <w:sz w:val="28"/>
          <w:szCs w:val="28"/>
          <w:lang w:eastAsia="ru-RU"/>
        </w:rPr>
        <w:t xml:space="preserve">к технической </w:t>
      </w:r>
      <w:r w:rsidRPr="0006152D">
        <w:rPr>
          <w:rFonts w:ascii="Times New Roman" w:eastAsia="Times New Roman" w:hAnsi="Times New Roman"/>
          <w:sz w:val="28"/>
          <w:szCs w:val="28"/>
          <w:lang w:eastAsia="ru-RU"/>
        </w:rPr>
        <w:t>укрепленности</w:t>
      </w:r>
      <w:r w:rsidRPr="0006152D">
        <w:rPr>
          <w:rFonts w:ascii="Times New Roman" w:eastAsia="Times New Roman" w:hAnsi="Times New Roman"/>
          <w:sz w:val="28"/>
          <w:szCs w:val="28"/>
          <w:lang w:eastAsia="ru-RU"/>
        </w:rPr>
        <w:t xml:space="preserve"> оружейных магазинов, в том числе оборудованием помещений железобетонными стенами, армированными перекрытиями, металлическими решетками и дверями, установкой «тревожных кнопок» </w:t>
      </w:r>
      <w:r>
        <w:rPr>
          <w:rFonts w:ascii="Times New Roman" w:eastAsia="Times New Roman" w:hAnsi="Times New Roman"/>
          <w:sz w:val="28"/>
          <w:szCs w:val="28"/>
          <w:lang w:eastAsia="ru-RU"/>
        </w:rPr>
        <w:br/>
      </w:r>
      <w:r w:rsidRPr="0006152D">
        <w:rPr>
          <w:rFonts w:ascii="Times New Roman" w:eastAsia="Times New Roman" w:hAnsi="Times New Roman"/>
          <w:sz w:val="28"/>
          <w:szCs w:val="28"/>
          <w:lang w:eastAsia="ru-RU"/>
        </w:rPr>
        <w:t>и системами видеонаблюдения, а также обеспечением иными техническими средствами защиты.</w:t>
      </w:r>
    </w:p>
    <w:p w:rsidR="00305FF2" w:rsidP="00305FF2">
      <w:pPr>
        <w:pStyle w:val="ListParagraph"/>
        <w:widowControl w:val="0"/>
        <w:tabs>
          <w:tab w:val="left" w:pos="-709"/>
          <w:tab w:val="left" w:pos="993"/>
        </w:tabs>
        <w:spacing w:after="0" w:line="240" w:lineRule="auto"/>
        <w:ind w:left="0" w:firstLine="709"/>
        <w:jc w:val="both"/>
        <w:rPr>
          <w:rFonts w:ascii="Times New Roman" w:hAnsi="Times New Roman"/>
          <w:i/>
          <w:sz w:val="24"/>
          <w:szCs w:val="28"/>
        </w:rPr>
      </w:pPr>
      <w:r>
        <w:rPr>
          <w:rFonts w:ascii="Times New Roman" w:hAnsi="Times New Roman"/>
          <w:sz w:val="28"/>
          <w:szCs w:val="28"/>
        </w:rPr>
        <w:t xml:space="preserve">В ходе январских событий преступникам длительное время не удавалось проникнуть в помещения оружейных магазинов, несмотря на применение ими специальных режущих средств и техники. При этом дезориентации действий нападающих способствовало требование об обязательности хранения оружия </w:t>
      </w:r>
      <w:r>
        <w:rPr>
          <w:rFonts w:ascii="Times New Roman" w:hAnsi="Times New Roman"/>
          <w:sz w:val="28"/>
          <w:szCs w:val="28"/>
        </w:rPr>
        <w:br/>
        <w:t>в торговых залах в деактивированном состоянии, в связи с чем основные хранилища практически не подверглись взлому.</w:t>
      </w:r>
    </w:p>
    <w:p w:rsidR="0006152D" w:rsidRPr="0006152D" w:rsidP="0006152D">
      <w:pPr>
        <w:widowControl w:val="0"/>
        <w:tabs>
          <w:tab w:val="left" w:pos="-709"/>
          <w:tab w:val="left" w:pos="709"/>
          <w:tab w:val="left" w:pos="993"/>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 xml:space="preserve">По инициативе депутатов Сената Парламента Республики Казахстан разработаны законопроекты «О внесении изменений и дополнений в некоторые законодательные акты Республики Казахстан по вопросам обеспечения национальной безопасности и службы в специальных государственных органах» и «О внесении изменений и дополнений в Кодекс Республики Казахстан </w:t>
      </w:r>
      <w:r>
        <w:rPr>
          <w:rFonts w:ascii="Times New Roman" w:eastAsia="Times New Roman" w:hAnsi="Times New Roman"/>
          <w:sz w:val="28"/>
          <w:szCs w:val="28"/>
          <w:lang w:eastAsia="ru-RU"/>
        </w:rPr>
        <w:br/>
      </w:r>
      <w:r w:rsidRPr="0006152D">
        <w:rPr>
          <w:rFonts w:ascii="Times New Roman" w:eastAsia="Times New Roman" w:hAnsi="Times New Roman"/>
          <w:sz w:val="28"/>
          <w:szCs w:val="28"/>
          <w:lang w:eastAsia="ru-RU"/>
        </w:rPr>
        <w:t xml:space="preserve">об административных правонарушениях» </w:t>
      </w:r>
      <w:r w:rsidRPr="0006152D">
        <w:rPr>
          <w:rFonts w:ascii="Times New Roman" w:eastAsia="Times New Roman" w:hAnsi="Times New Roman"/>
          <w:i/>
          <w:sz w:val="24"/>
          <w:szCs w:val="28"/>
          <w:lang w:eastAsia="ru-RU"/>
        </w:rPr>
        <w:t>(далее – законопроекты)</w:t>
      </w:r>
      <w:r w:rsidRPr="0006152D">
        <w:rPr>
          <w:rFonts w:ascii="Times New Roman" w:eastAsia="Times New Roman" w:hAnsi="Times New Roman"/>
          <w:sz w:val="28"/>
          <w:szCs w:val="28"/>
          <w:lang w:eastAsia="ru-RU"/>
        </w:rPr>
        <w:t>, в рамках которых предусмотрены поправки по ужесточению требований к обороту гражданского и служебного оружия, в том числе:</w:t>
      </w:r>
    </w:p>
    <w:p w:rsidR="0006152D" w:rsidRPr="0006152D" w:rsidP="0006152D">
      <w:pPr>
        <w:widowControl w:val="0"/>
        <w:tabs>
          <w:tab w:val="left" w:pos="-709"/>
          <w:tab w:val="left" w:pos="709"/>
          <w:tab w:val="left" w:pos="851"/>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w:t>
      </w:r>
      <w:r w:rsidRPr="0006152D">
        <w:rPr>
          <w:rFonts w:ascii="Times New Roman" w:eastAsia="Times New Roman" w:hAnsi="Times New Roman"/>
          <w:sz w:val="28"/>
          <w:szCs w:val="28"/>
          <w:lang w:eastAsia="ru-RU"/>
        </w:rPr>
        <w:tab/>
        <w:t xml:space="preserve">увеличению возрастного ценза для получения гражданами разрешения на владение охотничьим гладкоствольным оружием – с 18 лет до 21 года, </w:t>
      </w:r>
      <w:r w:rsidRPr="0006152D">
        <w:rPr>
          <w:rFonts w:ascii="Times New Roman" w:eastAsia="Times New Roman" w:hAnsi="Times New Roman"/>
          <w:sz w:val="28"/>
          <w:szCs w:val="28"/>
          <w:lang w:eastAsia="ru-RU"/>
        </w:rPr>
        <w:t xml:space="preserve">охотничьим гладкоствольным полуавтоматическим и нарезным оружием – </w:t>
      </w:r>
      <w:r>
        <w:rPr>
          <w:rFonts w:ascii="Times New Roman" w:eastAsia="Times New Roman" w:hAnsi="Times New Roman"/>
          <w:sz w:val="28"/>
          <w:szCs w:val="28"/>
          <w:lang w:eastAsia="ru-RU"/>
        </w:rPr>
        <w:br/>
      </w:r>
      <w:r w:rsidRPr="0006152D">
        <w:rPr>
          <w:rFonts w:ascii="Times New Roman" w:eastAsia="Times New Roman" w:hAnsi="Times New Roman"/>
          <w:sz w:val="28"/>
          <w:szCs w:val="28"/>
          <w:lang w:eastAsia="ru-RU"/>
        </w:rPr>
        <w:t>с 21 года до 24 лет;</w:t>
      </w:r>
    </w:p>
    <w:p w:rsidR="0006152D" w:rsidRPr="0006152D" w:rsidP="0006152D">
      <w:pPr>
        <w:widowControl w:val="0"/>
        <w:tabs>
          <w:tab w:val="left" w:pos="-709"/>
          <w:tab w:val="left" w:pos="851"/>
        </w:tabs>
        <w:spacing w:after="0" w:line="240" w:lineRule="auto"/>
        <w:ind w:firstLine="709"/>
        <w:contextualSpacing/>
        <w:jc w:val="both"/>
        <w:rPr>
          <w:rFonts w:ascii="Times New Roman" w:eastAsia="Times New Roman" w:hAnsi="Times New Roman"/>
          <w:i/>
          <w:sz w:val="24"/>
          <w:szCs w:val="28"/>
          <w:lang w:eastAsia="ru-RU"/>
        </w:rPr>
      </w:pPr>
      <w:r w:rsidRPr="0006152D">
        <w:rPr>
          <w:rFonts w:ascii="Times New Roman" w:eastAsia="Times New Roman" w:hAnsi="Times New Roman"/>
          <w:sz w:val="28"/>
          <w:szCs w:val="28"/>
          <w:lang w:eastAsia="ru-RU"/>
        </w:rPr>
        <w:t>-</w:t>
      </w:r>
      <w:r w:rsidRPr="0006152D">
        <w:rPr>
          <w:rFonts w:ascii="Times New Roman" w:eastAsia="Times New Roman" w:hAnsi="Times New Roman"/>
          <w:sz w:val="28"/>
          <w:szCs w:val="28"/>
          <w:lang w:eastAsia="ru-RU"/>
        </w:rPr>
        <w:tab/>
        <w:t xml:space="preserve">отнесению охолощенного оружия к категории гражданского </w:t>
      </w:r>
      <w:r w:rsidRPr="0006152D">
        <w:rPr>
          <w:rFonts w:ascii="Times New Roman" w:eastAsia="Times New Roman" w:hAnsi="Times New Roman"/>
          <w:sz w:val="28"/>
          <w:szCs w:val="28"/>
          <w:lang w:eastAsia="ru-RU"/>
        </w:rPr>
        <w:br/>
      </w:r>
      <w:r w:rsidRPr="0006152D">
        <w:rPr>
          <w:rFonts w:ascii="Times New Roman" w:eastAsia="Times New Roman" w:hAnsi="Times New Roman"/>
          <w:i/>
          <w:sz w:val="24"/>
          <w:szCs w:val="28"/>
          <w:lang w:eastAsia="ru-RU"/>
        </w:rPr>
        <w:t>(для использования в коллекционной, культурной и образовательной деятельности)</w:t>
      </w:r>
      <w:r w:rsidRPr="0006152D">
        <w:rPr>
          <w:rFonts w:ascii="Times New Roman" w:eastAsia="Times New Roman" w:hAnsi="Times New Roman"/>
          <w:sz w:val="28"/>
          <w:szCs w:val="28"/>
          <w:lang w:eastAsia="ru-RU"/>
        </w:rPr>
        <w:t xml:space="preserve"> </w:t>
      </w:r>
      <w:r w:rsidRPr="0006152D">
        <w:rPr>
          <w:rFonts w:ascii="Times New Roman" w:eastAsia="Times New Roman" w:hAnsi="Times New Roman"/>
          <w:sz w:val="28"/>
          <w:szCs w:val="28"/>
          <w:lang w:eastAsia="ru-RU"/>
        </w:rPr>
        <w:br/>
        <w:t>и введению разрешительного порядка его ввоза и оборота;</w:t>
      </w:r>
    </w:p>
    <w:p w:rsidR="0006152D" w:rsidRPr="0006152D" w:rsidP="0006152D">
      <w:pPr>
        <w:widowControl w:val="0"/>
        <w:tabs>
          <w:tab w:val="left" w:pos="-709"/>
          <w:tab w:val="left" w:pos="851"/>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w:t>
      </w:r>
      <w:r w:rsidRPr="0006152D">
        <w:rPr>
          <w:rFonts w:ascii="Times New Roman" w:eastAsia="Times New Roman" w:hAnsi="Times New Roman"/>
          <w:sz w:val="28"/>
          <w:szCs w:val="28"/>
          <w:lang w:eastAsia="ru-RU"/>
        </w:rPr>
        <w:tab/>
        <w:t>установлению уголовной ответственности за контрабанду травматического, пневматического, охолощенного, сигнального оружия и их основных частей, а также административной ответственности за их применение;</w:t>
      </w:r>
    </w:p>
    <w:p w:rsidR="0006152D" w:rsidRPr="0006152D" w:rsidP="0006152D">
      <w:pPr>
        <w:widowControl w:val="0"/>
        <w:tabs>
          <w:tab w:val="left" w:pos="-709"/>
          <w:tab w:val="left" w:pos="851"/>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w:t>
      </w:r>
      <w:r w:rsidRPr="0006152D">
        <w:rPr>
          <w:rFonts w:ascii="Times New Roman" w:eastAsia="Times New Roman" w:hAnsi="Times New Roman"/>
          <w:sz w:val="28"/>
          <w:szCs w:val="28"/>
          <w:lang w:eastAsia="ru-RU"/>
        </w:rPr>
        <w:tab/>
        <w:t xml:space="preserve">расширению перечня оснований для аннулирования разрешений на право владения оружием </w:t>
      </w:r>
      <w:r w:rsidRPr="0006152D">
        <w:rPr>
          <w:rFonts w:ascii="Times New Roman" w:eastAsia="Times New Roman" w:hAnsi="Times New Roman"/>
          <w:i/>
          <w:sz w:val="24"/>
          <w:szCs w:val="28"/>
          <w:lang w:eastAsia="ru-RU"/>
        </w:rPr>
        <w:t>(совершение умышленного причинения легкого вреда здоровью, нанесение побоев, участие в незаконных митингах, повторную утерю оружия, прекращение гражданства, вынесение защитного предписания по факту совершения бытового насилия, изъятие оружия, не прошедшего регистрацию в органах внутренних дел)</w:t>
      </w:r>
      <w:r w:rsidRPr="0006152D">
        <w:rPr>
          <w:rFonts w:ascii="Times New Roman" w:eastAsia="Times New Roman" w:hAnsi="Times New Roman"/>
          <w:sz w:val="28"/>
          <w:szCs w:val="28"/>
          <w:lang w:eastAsia="ru-RU"/>
        </w:rPr>
        <w:t>;</w:t>
      </w:r>
    </w:p>
    <w:p w:rsidR="0006152D" w:rsidRPr="0006152D" w:rsidP="0006152D">
      <w:pPr>
        <w:widowControl w:val="0"/>
        <w:tabs>
          <w:tab w:val="left" w:pos="-709"/>
          <w:tab w:val="left" w:pos="709"/>
          <w:tab w:val="left" w:pos="851"/>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w:t>
      </w:r>
      <w:r w:rsidRPr="0006152D">
        <w:rPr>
          <w:rFonts w:ascii="Times New Roman" w:eastAsia="Times New Roman" w:hAnsi="Times New Roman"/>
          <w:sz w:val="28"/>
          <w:szCs w:val="28"/>
          <w:lang w:eastAsia="ru-RU"/>
        </w:rPr>
        <w:tab/>
        <w:t>криминализации незаконного хранения гладкоствольного оружия путем их перевода из административных правонарушений в категорию уголовных.</w:t>
      </w:r>
    </w:p>
    <w:p w:rsidR="0006152D" w:rsidRPr="0006152D" w:rsidP="0006152D">
      <w:pPr>
        <w:widowControl w:val="0"/>
        <w:tabs>
          <w:tab w:val="left" w:pos="-709"/>
          <w:tab w:val="left" w:pos="709"/>
          <w:tab w:val="left" w:pos="993"/>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В настоящее время законопроекты направлены на получение заключений Правительства.</w:t>
      </w:r>
    </w:p>
    <w:p w:rsidR="0006152D" w:rsidRPr="0006152D" w:rsidP="0006152D">
      <w:pPr>
        <w:widowControl w:val="0"/>
        <w:tabs>
          <w:tab w:val="left" w:pos="-709"/>
          <w:tab w:val="left" w:pos="993"/>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С учетом анализа событий, связанных с нападениями на оружейные магазины, МВД разработан дополнительный пакет поправок, предусматривающих введение:</w:t>
      </w:r>
    </w:p>
    <w:p w:rsidR="0006152D" w:rsidRPr="0006152D" w:rsidP="0006152D">
      <w:pPr>
        <w:widowControl w:val="0"/>
        <w:tabs>
          <w:tab w:val="left" w:pos="-709"/>
          <w:tab w:val="left" w:pos="851"/>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w:t>
      </w:r>
      <w:r w:rsidRPr="0006152D">
        <w:rPr>
          <w:rFonts w:ascii="Times New Roman" w:eastAsia="Times New Roman" w:hAnsi="Times New Roman"/>
          <w:sz w:val="28"/>
          <w:szCs w:val="28"/>
          <w:lang w:eastAsia="ru-RU"/>
        </w:rPr>
        <w:tab/>
        <w:t xml:space="preserve">обязательств для юридических лиц по хранению всего оружия </w:t>
      </w:r>
      <w:r w:rsidRPr="0006152D">
        <w:rPr>
          <w:rFonts w:ascii="Times New Roman" w:eastAsia="Times New Roman" w:hAnsi="Times New Roman"/>
          <w:sz w:val="28"/>
          <w:szCs w:val="28"/>
          <w:lang w:eastAsia="ru-RU"/>
        </w:rPr>
        <w:br/>
        <w:t xml:space="preserve">в магазинах и пунктах централизованного хранения в непригодном для стрельбы состоянии </w:t>
      </w:r>
      <w:r w:rsidRPr="0006152D">
        <w:rPr>
          <w:rFonts w:ascii="Times New Roman" w:eastAsia="Times New Roman" w:hAnsi="Times New Roman"/>
          <w:i/>
          <w:sz w:val="24"/>
          <w:szCs w:val="28"/>
          <w:lang w:eastAsia="ru-RU"/>
        </w:rPr>
        <w:t>(сейчас разукомплектованное оружие хранится только на витринах оружейных магазинов, а пригодное для стрельбы – в комнатах хранения оружия)</w:t>
      </w:r>
      <w:r w:rsidRPr="0006152D">
        <w:rPr>
          <w:rFonts w:ascii="Times New Roman" w:eastAsia="Times New Roman" w:hAnsi="Times New Roman"/>
          <w:sz w:val="28"/>
          <w:szCs w:val="28"/>
          <w:lang w:eastAsia="ru-RU"/>
        </w:rPr>
        <w:t>;</w:t>
      </w:r>
    </w:p>
    <w:p w:rsidR="0006152D" w:rsidRPr="0006152D" w:rsidP="0006152D">
      <w:pPr>
        <w:widowControl w:val="0"/>
        <w:tabs>
          <w:tab w:val="left" w:pos="-709"/>
          <w:tab w:val="left" w:pos="851"/>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w:t>
      </w:r>
      <w:r w:rsidRPr="0006152D">
        <w:rPr>
          <w:rFonts w:ascii="Times New Roman" w:eastAsia="Times New Roman" w:hAnsi="Times New Roman"/>
          <w:sz w:val="28"/>
          <w:szCs w:val="28"/>
          <w:lang w:eastAsia="ru-RU"/>
        </w:rPr>
        <w:tab/>
        <w:t>пожизненного запрета на выдачу разрешений на право владения оружием лицам, привлеченным к уголовной ответственности за терроризм, экстремизм, незаконный оборот оружия, а также умышленное совершение тяжких и особо тяжких преступлений с применением оружия.</w:t>
      </w:r>
    </w:p>
    <w:p w:rsidR="0006152D" w:rsidRPr="0006152D" w:rsidP="0006152D">
      <w:pPr>
        <w:widowControl w:val="0"/>
        <w:tabs>
          <w:tab w:val="left" w:pos="-709"/>
          <w:tab w:val="left" w:pos="993"/>
        </w:tabs>
        <w:spacing w:after="0" w:line="240" w:lineRule="auto"/>
        <w:ind w:firstLine="709"/>
        <w:contextualSpacing/>
        <w:jc w:val="both"/>
        <w:rPr>
          <w:rFonts w:ascii="Times New Roman" w:eastAsia="Times New Roman" w:hAnsi="Times New Roman"/>
          <w:sz w:val="28"/>
          <w:szCs w:val="28"/>
          <w:lang w:eastAsia="ru-RU"/>
        </w:rPr>
      </w:pPr>
      <w:r w:rsidRPr="0006152D">
        <w:rPr>
          <w:rFonts w:ascii="Times New Roman" w:eastAsia="Times New Roman" w:hAnsi="Times New Roman"/>
          <w:sz w:val="28"/>
          <w:szCs w:val="28"/>
          <w:lang w:eastAsia="ru-RU"/>
        </w:rPr>
        <w:t>Названные поправки предполагается реализовать в установленном законодательством</w:t>
      </w:r>
      <w:r w:rsidRPr="0006152D">
        <w:rPr>
          <w:rFonts w:ascii="Times New Roman" w:eastAsia="Times New Roman" w:hAnsi="Times New Roman"/>
          <w:color w:val="FF0000"/>
          <w:sz w:val="28"/>
          <w:szCs w:val="28"/>
          <w:lang w:eastAsia="ru-RU"/>
        </w:rPr>
        <w:t xml:space="preserve"> </w:t>
      </w:r>
      <w:r w:rsidRPr="0006152D">
        <w:rPr>
          <w:rFonts w:ascii="Times New Roman" w:eastAsia="Times New Roman" w:hAnsi="Times New Roman"/>
          <w:sz w:val="28"/>
          <w:szCs w:val="28"/>
          <w:lang w:eastAsia="ru-RU"/>
        </w:rPr>
        <w:t>порядке в рамках текущей законотворческой деятельности.</w:t>
      </w:r>
    </w:p>
    <w:p w:rsidR="0006152D" w:rsidRPr="0006152D" w:rsidP="0006152D">
      <w:pPr>
        <w:widowControl w:val="0"/>
        <w:tabs>
          <w:tab w:val="left" w:pos="-709"/>
          <w:tab w:val="left" w:pos="993"/>
        </w:tabs>
        <w:spacing w:after="0" w:line="240" w:lineRule="auto"/>
        <w:ind w:firstLine="709"/>
        <w:contextualSpacing/>
        <w:jc w:val="both"/>
        <w:rPr>
          <w:rFonts w:ascii="Times New Roman" w:hAnsi="Times New Roman"/>
          <w:sz w:val="28"/>
          <w:szCs w:val="30"/>
          <w:lang w:eastAsia="ru-RU"/>
        </w:rPr>
      </w:pPr>
      <w:r w:rsidRPr="0006152D">
        <w:rPr>
          <w:rFonts w:ascii="Times New Roman" w:hAnsi="Times New Roman"/>
          <w:sz w:val="28"/>
          <w:szCs w:val="30"/>
          <w:lang w:eastAsia="ru-RU"/>
        </w:rPr>
        <w:t xml:space="preserve">Вопросы обеспечения контроля за оборотом оружия находятся </w:t>
      </w:r>
      <w:r w:rsidRPr="0006152D">
        <w:rPr>
          <w:rFonts w:ascii="Times New Roman" w:hAnsi="Times New Roman"/>
          <w:sz w:val="28"/>
          <w:szCs w:val="30"/>
          <w:lang w:eastAsia="ru-RU"/>
        </w:rPr>
        <w:br/>
        <w:t>на постоянном контроле уполномоченных государственных органов.</w:t>
      </w:r>
    </w:p>
    <w:p w:rsidR="0006152D" w:rsidRPr="0006152D" w:rsidP="0006152D">
      <w:pPr>
        <w:widowControl w:val="0"/>
        <w:tabs>
          <w:tab w:val="left" w:pos="-709"/>
          <w:tab w:val="num" w:pos="0"/>
          <w:tab w:val="left" w:pos="851"/>
          <w:tab w:val="left" w:pos="993"/>
        </w:tabs>
        <w:spacing w:after="0" w:line="240" w:lineRule="auto"/>
        <w:ind w:firstLine="709"/>
        <w:contextualSpacing/>
        <w:jc w:val="both"/>
        <w:rPr>
          <w:rFonts w:ascii="Times New Roman" w:eastAsia="Times New Roman" w:hAnsi="Times New Roman"/>
          <w:sz w:val="28"/>
          <w:szCs w:val="28"/>
          <w:lang w:eastAsia="ru-RU"/>
        </w:rPr>
      </w:pPr>
    </w:p>
    <w:p w:rsidR="0006152D" w:rsidRPr="0006152D" w:rsidP="0006152D">
      <w:pPr>
        <w:widowControl w:val="0"/>
        <w:tabs>
          <w:tab w:val="left" w:pos="-709"/>
          <w:tab w:val="num" w:pos="0"/>
          <w:tab w:val="left" w:pos="851"/>
          <w:tab w:val="left" w:pos="993"/>
        </w:tabs>
        <w:spacing w:after="0" w:line="240" w:lineRule="auto"/>
        <w:ind w:firstLine="709"/>
        <w:contextualSpacing/>
        <w:jc w:val="both"/>
        <w:rPr>
          <w:rFonts w:ascii="Times New Roman" w:eastAsia="Times New Roman" w:hAnsi="Times New Roman"/>
          <w:sz w:val="28"/>
          <w:szCs w:val="28"/>
          <w:lang w:eastAsia="ru-RU"/>
        </w:rPr>
      </w:pPr>
    </w:p>
    <w:p w:rsidR="0006152D" w:rsidRPr="0006152D" w:rsidP="0006152D">
      <w:pPr>
        <w:tabs>
          <w:tab w:val="left" w:pos="570"/>
        </w:tabs>
        <w:spacing w:after="0" w:line="240" w:lineRule="auto"/>
        <w:jc w:val="right"/>
        <w:rPr>
          <w:rFonts w:ascii="Times New Roman" w:eastAsia="Times New Roman" w:hAnsi="Times New Roman"/>
          <w:b/>
          <w:sz w:val="28"/>
          <w:szCs w:val="28"/>
          <w:lang w:eastAsia="ru-RU"/>
        </w:rPr>
      </w:pPr>
      <w:r w:rsidRPr="0006152D">
        <w:rPr>
          <w:rFonts w:ascii="Times New Roman" w:eastAsia="Times New Roman" w:hAnsi="Times New Roman"/>
          <w:b/>
          <w:sz w:val="28"/>
          <w:szCs w:val="28"/>
          <w:lang w:eastAsia="ru-RU"/>
        </w:rPr>
        <w:t xml:space="preserve">А. </w:t>
      </w:r>
      <w:r w:rsidRPr="0006152D">
        <w:rPr>
          <w:rFonts w:ascii="Times New Roman" w:eastAsia="Times New Roman" w:hAnsi="Times New Roman"/>
          <w:b/>
          <w:sz w:val="28"/>
          <w:szCs w:val="28"/>
          <w:lang w:eastAsia="ru-RU"/>
        </w:rPr>
        <w:t>Смаилов</w:t>
      </w:r>
    </w:p>
    <w:p w:rsidR="0006152D" w:rsidRPr="0006152D" w:rsidP="0006152D">
      <w:pPr>
        <w:tabs>
          <w:tab w:val="left" w:pos="570"/>
        </w:tabs>
        <w:spacing w:after="0" w:line="240" w:lineRule="auto"/>
        <w:jc w:val="right"/>
        <w:rPr>
          <w:rFonts w:ascii="Times New Roman" w:eastAsia="Times New Roman" w:hAnsi="Times New Roman"/>
          <w:b/>
          <w:sz w:val="28"/>
          <w:szCs w:val="28"/>
          <w:lang w:eastAsia="ru-RU"/>
        </w:rPr>
      </w:pPr>
    </w:p>
    <w:p w:rsidR="0006152D" w:rsidRPr="0006152D" w:rsidP="0006152D">
      <w:pPr>
        <w:tabs>
          <w:tab w:val="left" w:pos="570"/>
        </w:tabs>
        <w:spacing w:after="0" w:line="240" w:lineRule="auto"/>
        <w:jc w:val="right"/>
        <w:rPr>
          <w:rFonts w:ascii="Times New Roman" w:eastAsia="Times New Roman" w:hAnsi="Times New Roman"/>
          <w:b/>
          <w:sz w:val="28"/>
          <w:szCs w:val="28"/>
          <w:lang w:eastAsia="ru-RU"/>
        </w:rPr>
      </w:pPr>
    </w:p>
    <w:p w:rsidR="0006152D" w:rsidRPr="0006152D" w:rsidP="0006152D">
      <w:pPr>
        <w:tabs>
          <w:tab w:val="left" w:pos="570"/>
        </w:tabs>
        <w:spacing w:after="0" w:line="240" w:lineRule="auto"/>
        <w:jc w:val="right"/>
        <w:rPr>
          <w:rFonts w:ascii="Times New Roman" w:eastAsia="Times New Roman" w:hAnsi="Times New Roman"/>
          <w:b/>
          <w:sz w:val="28"/>
          <w:szCs w:val="28"/>
          <w:lang w:eastAsia="ru-RU"/>
        </w:rPr>
      </w:pPr>
    </w:p>
    <w:p w:rsidR="0006152D" w:rsidRPr="0006152D" w:rsidP="0006152D">
      <w:pPr>
        <w:tabs>
          <w:tab w:val="left" w:pos="570"/>
        </w:tabs>
        <w:spacing w:after="0" w:line="240" w:lineRule="auto"/>
        <w:jc w:val="right"/>
        <w:rPr>
          <w:rFonts w:ascii="Times New Roman" w:eastAsia="Times New Roman" w:hAnsi="Times New Roman"/>
          <w:b/>
          <w:sz w:val="28"/>
          <w:szCs w:val="28"/>
          <w:lang w:eastAsia="ru-RU"/>
        </w:rPr>
      </w:pPr>
    </w:p>
    <w:p w:rsidR="0006152D" w:rsidRPr="0006152D" w:rsidP="0006152D">
      <w:pPr>
        <w:tabs>
          <w:tab w:val="left" w:pos="570"/>
        </w:tabs>
        <w:spacing w:after="0" w:line="240" w:lineRule="auto"/>
        <w:jc w:val="right"/>
        <w:rPr>
          <w:rFonts w:ascii="Times New Roman" w:eastAsia="Times New Roman" w:hAnsi="Times New Roman"/>
          <w:b/>
          <w:sz w:val="28"/>
          <w:szCs w:val="28"/>
          <w:lang w:eastAsia="ru-RU"/>
        </w:rPr>
      </w:pPr>
      <w:bookmarkStart w:id="0" w:name="_GoBack"/>
      <w:bookmarkEnd w:id="0"/>
    </w:p>
    <w:p w:rsidR="0006152D" w:rsidRPr="0006152D" w:rsidP="0006152D">
      <w:pPr>
        <w:tabs>
          <w:tab w:val="left" w:pos="570"/>
        </w:tabs>
        <w:spacing w:after="0" w:line="240" w:lineRule="auto"/>
        <w:jc w:val="right"/>
        <w:rPr>
          <w:rFonts w:ascii="Times New Roman" w:eastAsia="Times New Roman" w:hAnsi="Times New Roman"/>
          <w:b/>
          <w:sz w:val="28"/>
          <w:szCs w:val="28"/>
          <w:lang w:eastAsia="ru-RU"/>
        </w:rPr>
      </w:pPr>
    </w:p>
    <w:p w:rsidR="0006152D" w:rsidRPr="0006152D" w:rsidP="0006152D">
      <w:pPr>
        <w:tabs>
          <w:tab w:val="left" w:pos="570"/>
        </w:tabs>
        <w:spacing w:after="0" w:line="240" w:lineRule="auto"/>
        <w:jc w:val="right"/>
        <w:rPr>
          <w:rFonts w:ascii="Times New Roman" w:eastAsia="Times New Roman" w:hAnsi="Times New Roman"/>
          <w:b/>
          <w:sz w:val="28"/>
          <w:szCs w:val="28"/>
          <w:lang w:eastAsia="ru-RU"/>
        </w:rPr>
      </w:pPr>
    </w:p>
    <w:p w:rsidR="0006152D" w:rsidRPr="0006152D" w:rsidP="0006152D">
      <w:pPr>
        <w:tabs>
          <w:tab w:val="left" w:pos="0"/>
        </w:tabs>
        <w:adjustRightInd w:val="0"/>
        <w:spacing w:after="0" w:line="240" w:lineRule="auto"/>
        <w:jc w:val="both"/>
        <w:rPr>
          <w:rFonts w:ascii="Times New Roman" w:eastAsia="Times New Roman" w:hAnsi="Times New Roman"/>
          <w:i/>
          <w:sz w:val="24"/>
          <w:szCs w:val="28"/>
          <w:lang w:eastAsia="ru-RU"/>
        </w:rPr>
      </w:pPr>
      <w:r w:rsidRPr="0006152D">
        <w:rPr>
          <w:rFonts w:ascii="Times New Roman" w:eastAsia="Times New Roman" w:hAnsi="Times New Roman"/>
          <w:i/>
          <w:sz w:val="24"/>
          <w:szCs w:val="28"/>
          <w:lang w:eastAsia="ru-RU"/>
        </w:rPr>
        <w:t xml:space="preserve">Исп.: </w:t>
      </w:r>
      <w:r w:rsidRPr="0006152D">
        <w:rPr>
          <w:rFonts w:ascii="Times New Roman" w:eastAsia="Times New Roman" w:hAnsi="Times New Roman"/>
          <w:i/>
          <w:sz w:val="24"/>
          <w:szCs w:val="28"/>
          <w:lang w:eastAsia="ru-RU"/>
        </w:rPr>
        <w:t>Альжанов</w:t>
      </w:r>
      <w:r w:rsidRPr="0006152D">
        <w:rPr>
          <w:rFonts w:ascii="Times New Roman" w:eastAsia="Times New Roman" w:hAnsi="Times New Roman"/>
          <w:i/>
          <w:sz w:val="24"/>
          <w:szCs w:val="28"/>
          <w:lang w:eastAsia="ru-RU"/>
        </w:rPr>
        <w:t xml:space="preserve"> К.Ж.</w:t>
      </w:r>
    </w:p>
    <w:p w:rsidR="00AC65FB" w:rsidRPr="006D16F2" w:rsidP="00A857A7">
      <w:pPr>
        <w:tabs>
          <w:tab w:val="left" w:pos="0"/>
        </w:tabs>
        <w:adjustRightInd w:val="0"/>
        <w:spacing w:after="0" w:line="240" w:lineRule="auto"/>
        <w:jc w:val="both"/>
        <w:rPr>
          <w:rFonts w:ascii="Times New Roman" w:hAnsi="Times New Roman"/>
          <w:b/>
          <w:sz w:val="28"/>
          <w:szCs w:val="28"/>
          <w:lang w:val="kk-KZ"/>
        </w:rPr>
      </w:pPr>
      <w:r w:rsidRPr="0006152D">
        <w:rPr>
          <w:rFonts w:ascii="Times New Roman" w:eastAsia="Times New Roman" w:hAnsi="Times New Roman"/>
          <w:i/>
          <w:sz w:val="24"/>
          <w:szCs w:val="28"/>
          <w:lang w:eastAsia="ru-RU"/>
        </w:rPr>
        <w:t>Тел.: 75 01 16</w:t>
      </w:r>
    </w:p>
    <w:sectPr w:rsidSect="006F26AD">
      <w:headerReference w:type="default" r:id="rId4"/>
      <w:headerReference w:type="first" r:id="rId5"/>
      <w:pgSz w:w="11906" w:h="16838"/>
      <w:pgMar w:top="1134" w:right="851" w:bottom="1134" w:left="1418" w:header="45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88147817"/>
      <w:docPartObj>
        <w:docPartGallery w:val="Page Numbers (Top of Page)"/>
        <w:docPartUnique/>
      </w:docPartObj>
    </w:sdtPr>
    <w:sdtEndPr>
      <w:rPr>
        <w:rFonts w:ascii="Times New Roman" w:hAnsi="Times New Roman"/>
        <w:sz w:val="24"/>
      </w:rPr>
    </w:sdtEndPr>
    <w:sdtContent>
      <w:p w:rsidR="003B1A36" w:rsidRPr="00045CF5">
        <w:pPr>
          <w:pStyle w:val="Header"/>
          <w:jc w:val="center"/>
          <w:rPr>
            <w:rFonts w:ascii="Times New Roman" w:hAnsi="Times New Roman"/>
            <w:sz w:val="24"/>
          </w:rPr>
        </w:pPr>
        <w:r w:rsidRPr="00045CF5">
          <w:rPr>
            <w:rFonts w:ascii="Times New Roman" w:hAnsi="Times New Roman"/>
            <w:sz w:val="24"/>
          </w:rPr>
          <w:fldChar w:fldCharType="begin"/>
        </w:r>
        <w:r w:rsidRPr="00045CF5">
          <w:rPr>
            <w:rFonts w:ascii="Times New Roman" w:hAnsi="Times New Roman"/>
            <w:sz w:val="24"/>
          </w:rPr>
          <w:instrText>PAGE   \* MERGEFORMAT</w:instrText>
        </w:r>
        <w:r w:rsidRPr="00045CF5">
          <w:rPr>
            <w:rFonts w:ascii="Times New Roman" w:hAnsi="Times New Roman"/>
            <w:sz w:val="24"/>
          </w:rPr>
          <w:fldChar w:fldCharType="separate"/>
        </w:r>
        <w:r w:rsidR="00F93A8E">
          <w:rPr>
            <w:rFonts w:ascii="Times New Roman" w:hAnsi="Times New Roman"/>
            <w:noProof/>
            <w:sz w:val="24"/>
          </w:rPr>
          <w:t>2</w:t>
        </w:r>
        <w:r w:rsidRPr="00045CF5">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7E2" w:rsidRPr="001E77E2" w:rsidP="000B467C">
    <w:pPr>
      <w:pStyle w:val="Header"/>
      <w:ind w:left="-426" w:right="-286"/>
      <w:jc w:val="center"/>
      <w:rPr>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-963930</wp:posOffset>
              </wp:positionH>
              <wp:positionV relativeFrom="paragraph">
                <wp:posOffset>781050</wp:posOffset>
              </wp:positionV>
              <wp:extent cx="381000" cy="2667000"/>
              <wp:effectExtent l="0" t="0" r="0" b="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266700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125EC" w:rsidRPr="00C125EC">
                          <w:pPr>
                            <w:rPr>
                              <w:rFonts w:ascii="Times New Roman" w:hAnsi="Times New Roman"/>
                              <w:b/>
                              <w:color w:val="E10000"/>
                              <w:sz w:val="28"/>
                            </w:rPr>
                          </w:pPr>
                          <w:r>
                            <w:rPr>
                              <w:rFonts w:ascii="Times New Roman" w:hAnsi="Times New Roman"/>
                              <w:b/>
                              <w:color w:val="E10000"/>
                              <w:sz w:val="28"/>
                            </w:rPr>
                            <w:t>Бақылауға</w:t>
                          </w:r>
                          <w:r>
                            <w:rPr>
                              <w:rFonts w:ascii="Times New Roman" w:hAnsi="Times New Roman"/>
                              <w:b/>
                              <w:color w:val="E10000"/>
                              <w:sz w:val="28"/>
                            </w:rPr>
                            <w:t xml:space="preserve"> </w:t>
                          </w:r>
                          <w:r>
                            <w:rPr>
                              <w:rFonts w:ascii="Times New Roman" w:hAnsi="Times New Roman"/>
                              <w:b/>
                              <w:color w:val="E10000"/>
                              <w:sz w:val="28"/>
                            </w:rPr>
                            <w:t>алынды</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210pt;margin-left:-75.9pt;margin-top:6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C125EC" w:rsidRPr="00C125EC">
                    <w:pPr>
                      <w:rPr>
                        <w:rFonts w:ascii="Times New Roman" w:hAnsi="Times New Roman"/>
                        <w:b/>
                        <w:color w:val="E10000"/>
                        <w:sz w:val="28"/>
                      </w:rPr>
                    </w:pPr>
                    <w:r>
                      <w:rPr>
                        <w:rFonts w:ascii="Times New Roman" w:hAnsi="Times New Roman"/>
                        <w:b/>
                        <w:color w:val="E10000"/>
                        <w:sz w:val="28"/>
                      </w:rPr>
                      <w:t>Бақылауға алынды</w:t>
                    </w:r>
                  </w:p>
                </w:txbxContent>
              </v:textbox>
            </v:shape>
          </w:pict>
        </mc:Fallback>
      </mc:AlternateContent>
    </w:r>
    <w:r w:rsidR="000B467C">
      <w:rPr>
        <w:noProof/>
        <w:lang w:eastAsia="ru-RU"/>
      </w:rPr>
      <w:drawing>
        <wp:inline distT="0" distB="0" distL="0" distR="0">
          <wp:extent cx="6119495" cy="179357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1.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119495" cy="17935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BF0ABC"/>
    <w:multiLevelType w:val="hybridMultilevel"/>
    <w:tmpl w:val="EF52C6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26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13C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13C5"/>
    <w:rPr>
      <w:rFonts w:ascii="Segoe UI" w:hAnsi="Segoe UI" w:cs="Segoe UI"/>
      <w:sz w:val="18"/>
      <w:szCs w:val="18"/>
    </w:rPr>
  </w:style>
  <w:style w:type="paragraph" w:styleId="Header">
    <w:name w:val="header"/>
    <w:basedOn w:val="Normal"/>
    <w:link w:val="a0"/>
    <w:uiPriority w:val="99"/>
    <w:unhideWhenUsed/>
    <w:rsid w:val="00F55F2E"/>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55F2E"/>
  </w:style>
  <w:style w:type="paragraph" w:styleId="Footer">
    <w:name w:val="footer"/>
    <w:basedOn w:val="Normal"/>
    <w:link w:val="a1"/>
    <w:uiPriority w:val="99"/>
    <w:unhideWhenUsed/>
    <w:rsid w:val="00F55F2E"/>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55F2E"/>
  </w:style>
  <w:style w:type="paragraph" w:styleId="NoSpacing">
    <w:name w:val="No Spacing"/>
    <w:aliases w:val="14 TNR,No Spacing1,No Spacing2,No Spacing21,No Spacing_0,Айгерим,Без интеБез интервала,Без интервала1,Без интервала11,Без интервала13,Без интервала3,Без интервала31,Без интервала4,Без интервала5,МОЙ СТИЛЬ,О,Обя,мелкий,мой рабочий,норма,свой"/>
    <w:link w:val="a2"/>
    <w:uiPriority w:val="1"/>
    <w:qFormat/>
    <w:rsid w:val="006F26AD"/>
    <w:pPr>
      <w:spacing w:after="0" w:line="240" w:lineRule="auto"/>
    </w:pPr>
    <w:rPr>
      <w:rFonts w:ascii="Calibri" w:eastAsia="Times New Roman" w:hAnsi="Calibri" w:cs="Times New Roman"/>
      <w:lang w:eastAsia="ru-RU"/>
    </w:rPr>
  </w:style>
  <w:style w:type="character" w:customStyle="1" w:styleId="a2">
    <w:name w:val="Без интервала Знак"/>
    <w:aliases w:val="14 TNR Знак,No Spacing Знак,No Spacing1 Знак,Айгерим Знак,Без интеБез интервала Знак,Без интервала1 Знак,Без интервала11 Знак,Без интервала3 Знак,МОЙ СТИЛЬ Знак,О Знак,Обя Знак,мелкий Знак,мой рабочий Знак,норма Знак,свой Знак"/>
    <w:link w:val="NoSpacing"/>
    <w:uiPriority w:val="1"/>
    <w:locked/>
    <w:rsid w:val="006F26AD"/>
    <w:rPr>
      <w:rFonts w:ascii="Calibri" w:eastAsia="Times New Roman" w:hAnsi="Calibri" w:cs="Times New Roman"/>
      <w:lang w:eastAsia="ru-RU"/>
    </w:rPr>
  </w:style>
  <w:style w:type="paragraph" w:styleId="NormalWeb">
    <w:name w:val="Normal (Web)"/>
    <w:aliases w:val="Знак Знак,Знак4,Знак4 Знак,Знак4 Знак Знак,Знак4 Знак Знак Знак Знак,Обычный (Web),Обычный (Web) Знак Знак Знак Знак,Обычный (Web) Знак Знак Знак Знак Знак Знак Знак Знак Знак,Обычный (веб) Знак1,Обычный (веб)1,Обычный (веб)1 Знак Знак Зн"/>
    <w:basedOn w:val="Normal"/>
    <w:link w:val="a3"/>
    <w:uiPriority w:val="99"/>
    <w:unhideWhenUsed/>
    <w:rsid w:val="006F26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
    <w:name w:val="Обычный (веб) Знак"/>
    <w:aliases w:val="Знак Знак Знак,Знак4 Знак Знак Знак,Знак4 Знак Знак Знак Знак Знак,Знак4 Знак Знак1,Знак4 Знак1,Обычный (Web) Знак,Обычный (Web) Знак Знак Знак Знак Знак,Обычный (веб) Знак1 Знак,Обычный (веб)1 Знак,Обычный (веб)1 Знак Знак Зн Знак"/>
    <w:link w:val="NormalWeb"/>
    <w:uiPriority w:val="99"/>
    <w:locked/>
    <w:rsid w:val="006F26AD"/>
    <w:rPr>
      <w:rFonts w:ascii="Times New Roman" w:eastAsia="Times New Roman" w:hAnsi="Times New Roman" w:cs="Times New Roman"/>
      <w:sz w:val="24"/>
      <w:szCs w:val="24"/>
      <w:lang w:eastAsia="ru-RU"/>
    </w:rPr>
  </w:style>
  <w:style w:type="paragraph" w:customStyle="1" w:styleId="Default">
    <w:name w:val="Default"/>
    <w:rsid w:val="0020639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 список маркированный,маркированный"/>
    <w:basedOn w:val="Normal"/>
    <w:link w:val="a4"/>
    <w:uiPriority w:val="34"/>
    <w:qFormat/>
    <w:rsid w:val="00206399"/>
    <w:pPr>
      <w:spacing w:after="200" w:line="276" w:lineRule="auto"/>
      <w:ind w:left="720"/>
      <w:contextualSpacing/>
    </w:pPr>
    <w:rPr>
      <w:rFonts w:eastAsia="Times New Roman"/>
      <w:lang w:eastAsia="ru-RU"/>
    </w:rPr>
  </w:style>
  <w:style w:type="character" w:customStyle="1" w:styleId="a4">
    <w:name w:val="Абзац списка Знак"/>
    <w:aliases w:val="2 список маркированный Знак,маркированный Знак"/>
    <w:link w:val="ListParagraph"/>
    <w:uiPriority w:val="34"/>
    <w:rsid w:val="00206399"/>
    <w:rPr>
      <w:rFonts w:ascii="Calibri" w:eastAsia="Times New Roman" w:hAnsi="Calibri" w:cs="Times New Roman"/>
      <w:lang w:eastAsia="ru-RU"/>
    </w:rPr>
  </w:style>
  <w:style w:type="paragraph" w:styleId="BodyTextIndent">
    <w:name w:val="Body Text Indent"/>
    <w:basedOn w:val="Normal"/>
    <w:link w:val="a5"/>
    <w:unhideWhenUsed/>
    <w:rsid w:val="00045CF5"/>
    <w:pPr>
      <w:spacing w:after="120" w:line="276" w:lineRule="auto"/>
      <w:ind w:left="283"/>
    </w:pPr>
    <w:rPr>
      <w:rFonts w:eastAsia="Times New Roman"/>
      <w:sz w:val="20"/>
      <w:szCs w:val="20"/>
      <w:lang w:eastAsia="ru-RU"/>
    </w:rPr>
  </w:style>
  <w:style w:type="character" w:customStyle="1" w:styleId="a5">
    <w:name w:val="Основной текст с отступом Знак"/>
    <w:basedOn w:val="DefaultParagraphFont"/>
    <w:link w:val="BodyTextIndent"/>
    <w:rsid w:val="00045CF5"/>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36</cp:revision>
</cp:coreProperties>
</file>