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6862A6" w:rsidRPr="00251C76" w:rsidP="002F67A4">
      <w:pPr>
        <w:shd w:val="clear" w:color="auto" w:fill="FFFFFF"/>
        <w:spacing w:after="0" w:line="240" w:lineRule="auto"/>
        <w:jc w:val="right"/>
        <w:outlineLvl w:val="1"/>
        <w:rPr>
          <w:rFonts w:ascii="Times New Roman" w:eastAsia="Times New Roman" w:hAnsi="Times New Roman" w:cs="Times New Roman"/>
          <w:bCs/>
          <w:sz w:val="28"/>
          <w:szCs w:val="24"/>
          <w:lang w:val="kk-KZ"/>
        </w:rPr>
      </w:pPr>
      <w:r w:rsidRPr="00251C76">
        <w:rPr>
          <w:rFonts w:ascii="Times New Roman" w:eastAsia="Times New Roman" w:hAnsi="Times New Roman" w:cs="Times New Roman"/>
          <w:bCs/>
          <w:sz w:val="28"/>
          <w:szCs w:val="24"/>
          <w:lang w:val="kk-KZ"/>
        </w:rPr>
        <w:t>Приложение</w:t>
      </w:r>
    </w:p>
    <w:p w:rsidR="007E7264" w:rsidRPr="00251C76" w:rsidP="007E7264">
      <w:pPr>
        <w:spacing w:after="0" w:line="240" w:lineRule="auto"/>
        <w:ind w:firstLine="708"/>
        <w:jc w:val="both"/>
        <w:rPr>
          <w:rFonts w:ascii="Times New Roman" w:hAnsi="Times New Roman" w:cs="Times New Roman"/>
          <w:sz w:val="28"/>
          <w:szCs w:val="28"/>
        </w:rPr>
      </w:pP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В разработанных по поручению Главы государства проектах Концепции развития агропромышленного комплекса на 2021 – 2030 годы (далее – проект Концепции) и </w:t>
      </w:r>
      <w:r w:rsidRPr="00251C76">
        <w:rPr>
          <w:rFonts w:ascii="Times New Roman" w:eastAsia="Times New Roman" w:hAnsi="Times New Roman" w:cs="Times New Roman"/>
          <w:bCs/>
          <w:sz w:val="28"/>
          <w:szCs w:val="28"/>
          <w:lang w:eastAsia="ru-RU"/>
        </w:rPr>
        <w:t xml:space="preserve">Национального проекта развития агропромышленного комплекса на 2021-2025 годы (далее – Нацпроект) </w:t>
      </w:r>
      <w:r w:rsidRPr="00251C76">
        <w:rPr>
          <w:rFonts w:ascii="Times New Roman" w:hAnsi="Times New Roman" w:cs="Times New Roman"/>
          <w:sz w:val="28"/>
          <w:szCs w:val="28"/>
        </w:rPr>
        <w:t xml:space="preserve">учтены глобальные вызовы и мировые тренды в развитии АПК. </w:t>
      </w:r>
    </w:p>
    <w:p w:rsidR="005D5F9A" w:rsidRPr="00251C76" w:rsidP="005D5F9A">
      <w:pPr>
        <w:spacing w:after="0" w:line="240" w:lineRule="auto"/>
        <w:ind w:firstLine="708"/>
        <w:jc w:val="both"/>
        <w:rPr>
          <w:rFonts w:ascii="Times New Roman" w:hAnsi="Times New Roman" w:cs="Times New Roman"/>
          <w:sz w:val="28"/>
        </w:rPr>
      </w:pPr>
      <w:r w:rsidRPr="00251C76">
        <w:rPr>
          <w:rFonts w:ascii="Times New Roman" w:hAnsi="Times New Roman" w:cs="Times New Roman"/>
          <w:sz w:val="28"/>
          <w:szCs w:val="28"/>
        </w:rPr>
        <w:t>Ключевыми моментами являются максимальное снижение</w:t>
      </w:r>
      <w:r w:rsidRPr="00251C76">
        <w:rPr>
          <w:rFonts w:ascii="Times New Roman" w:hAnsi="Times New Roman" w:cs="Times New Roman"/>
          <w:sz w:val="28"/>
        </w:rPr>
        <w:t xml:space="preserve"> негативного влияния погодных факторов на сельхозпроизводство, повышение его устойчивости к глобальным климатическим изменениям за счет проведения реальной диверсификации. </w:t>
      </w:r>
    </w:p>
    <w:p w:rsidR="005D5F9A" w:rsidRPr="00251C76" w:rsidP="005D5F9A">
      <w:pPr>
        <w:pStyle w:val="Default"/>
        <w:ind w:firstLine="708"/>
        <w:jc w:val="both"/>
        <w:rPr>
          <w:rFonts w:ascii="Times New Roman" w:hAnsi="Times New Roman" w:cs="Times New Roman"/>
          <w:sz w:val="28"/>
        </w:rPr>
      </w:pPr>
      <w:r w:rsidRPr="00251C76">
        <w:rPr>
          <w:rFonts w:ascii="Times New Roman" w:hAnsi="Times New Roman" w:cs="Times New Roman"/>
          <w:sz w:val="28"/>
        </w:rPr>
        <w:t xml:space="preserve">В земледелии это будет достигаться за счет проведения широкой разъяснительной работы среди </w:t>
      </w:r>
      <w:r w:rsidRPr="00251C76">
        <w:rPr>
          <w:rFonts w:ascii="Times New Roman" w:hAnsi="Times New Roman" w:cs="Times New Roman"/>
          <w:sz w:val="28"/>
        </w:rPr>
        <w:t>сельхозтоваропроизводителей</w:t>
      </w:r>
      <w:r w:rsidRPr="00251C76">
        <w:rPr>
          <w:rFonts w:ascii="Times New Roman" w:hAnsi="Times New Roman" w:cs="Times New Roman"/>
          <w:sz w:val="28"/>
        </w:rPr>
        <w:t xml:space="preserve"> (далее - СХТП) о необходимости и преимуществах минимизации рисков производства за счет диверсификации с параллельной выработкой механизмов контроля за выполнением землепользователями своих обязательств в рамках договоров аренды с использованием современных цифровых технологий, космического мониторинга и дистанционного зондирования земли и мер государственного регулирования процесса диверсификации. </w:t>
      </w:r>
    </w:p>
    <w:p w:rsidR="005D5F9A" w:rsidRPr="00251C76" w:rsidP="005D5F9A">
      <w:pPr>
        <w:pStyle w:val="Default"/>
        <w:ind w:firstLine="708"/>
        <w:jc w:val="both"/>
        <w:rPr>
          <w:rFonts w:ascii="Times New Roman" w:hAnsi="Times New Roman" w:cs="Times New Roman"/>
          <w:sz w:val="28"/>
        </w:rPr>
      </w:pPr>
      <w:r w:rsidRPr="00251C76">
        <w:rPr>
          <w:rFonts w:ascii="Times New Roman" w:hAnsi="Times New Roman" w:cs="Times New Roman"/>
          <w:sz w:val="28"/>
        </w:rPr>
        <w:t xml:space="preserve">В результате прогнозируется увеличение площади возделывания кормовых культур как минимум в 2 раза с доведением их доли в севообороте до научно-обоснованных норм. Также будут выработаны и внедрены новые подходы к повышению продуктивности пастбищ путем коренного и поверхностного улучшения, вовлечения в оборот новых пастбищных угодий через применение более эффективной модели их обводнения.  </w:t>
      </w:r>
    </w:p>
    <w:p w:rsidR="005D5F9A" w:rsidRPr="00251C76" w:rsidP="005D5F9A">
      <w:pPr>
        <w:pStyle w:val="Default"/>
        <w:ind w:firstLine="708"/>
        <w:jc w:val="both"/>
        <w:rPr>
          <w:rFonts w:ascii="Times New Roman" w:hAnsi="Times New Roman" w:cs="Times New Roman"/>
          <w:sz w:val="28"/>
        </w:rPr>
      </w:pPr>
      <w:r w:rsidRPr="00251C76">
        <w:rPr>
          <w:rFonts w:ascii="Times New Roman" w:hAnsi="Times New Roman" w:cs="Times New Roman"/>
          <w:sz w:val="28"/>
        </w:rPr>
        <w:t xml:space="preserve">Важной составляющей устойчивого развития растениеводства является создание четкой системы семеноводства. Для развития отечественного семеноводства планируется перевести научные организации на современные методы селекции, основанные на генной инженерии и позволяющие вдвое сократить сроки выведения новых сортов. Для этого необходимо подготовить соответствующие кадры, владеющие этими методами, а также планируется создать цифровую систему </w:t>
      </w:r>
      <w:r w:rsidRPr="00251C76">
        <w:rPr>
          <w:rFonts w:ascii="Times New Roman" w:hAnsi="Times New Roman" w:cs="Times New Roman"/>
          <w:sz w:val="28"/>
        </w:rPr>
        <w:t>прослеживаемости</w:t>
      </w:r>
      <w:r w:rsidRPr="00251C76">
        <w:rPr>
          <w:rFonts w:ascii="Times New Roman" w:hAnsi="Times New Roman" w:cs="Times New Roman"/>
          <w:sz w:val="28"/>
        </w:rPr>
        <w:t xml:space="preserve"> движения семенного материала. В настоящее время начата работа по созданию данного программного продукта.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Вместе с тем, в рамках проекта Концепции для развития семеноводства будет осуществлена передача компетенции по аттестации производителей семян от государства в саморегулируемую среду. Это обеспечит защиту интересов селекционеров и субъектов семеноводства, придаст рост активности субъектов семеноводства, усилит контроль за технологией производства семян.</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Важным шагом для Казахстана будет присоединение к Международному союзу по охране новых сортов растений (UPOV) – это откроет стране доступ к достижениям мировой селекции. Кроме того, присоединение также обеспечит защиту интеллектуальной собственности селекционеров с учетом </w:t>
      </w:r>
      <w:r w:rsidRPr="00251C76">
        <w:rPr>
          <w:rFonts w:ascii="Times New Roman" w:hAnsi="Times New Roman" w:cs="Times New Roman"/>
          <w:sz w:val="28"/>
          <w:szCs w:val="28"/>
        </w:rPr>
        <w:t>международных норм, а также простимулирует развитие свободной торговли семенами лучших сортов зарубежной селекции со странами-членами UPOV.</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В целях защиты семенного рынка Казахстана от ввоза и использования неэффективных сортов сельскохозяйственных культур и семян генетически-модифицированных сортов будет осуществлен возврат к разрешительному (ограничительному) характеру ведения Государственного реестра селекционных достижений.</w:t>
      </w:r>
    </w:p>
    <w:p w:rsidR="005D5F9A" w:rsidRPr="00251C76"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 xml:space="preserve">Также в проекте Концепции </w:t>
      </w:r>
      <w:r w:rsidRPr="00251C76">
        <w:rPr>
          <w:rFonts w:ascii="Times New Roman" w:hAnsi="Times New Roman" w:cs="Times New Roman"/>
          <w:sz w:val="28"/>
          <w:szCs w:val="28"/>
          <w:lang w:val="kk-KZ"/>
        </w:rPr>
        <w:t>предусматривается</w:t>
      </w:r>
      <w:r w:rsidRPr="00251C76">
        <w:rPr>
          <w:rFonts w:ascii="Times New Roman" w:hAnsi="Times New Roman" w:cs="Times New Roman"/>
          <w:sz w:val="28"/>
          <w:szCs w:val="28"/>
          <w:lang w:val="kk-KZ"/>
        </w:rPr>
        <w:t xml:space="preserve"> </w:t>
      </w:r>
      <w:r w:rsidRPr="00251C76">
        <w:rPr>
          <w:rFonts w:ascii="Times New Roman" w:hAnsi="Times New Roman" w:cs="Times New Roman"/>
          <w:sz w:val="28"/>
          <w:szCs w:val="28"/>
        </w:rPr>
        <w:t>принцип специализации регионов при оказании государственной поддержки АПК на основе Схемы специализации регионов, которая будет использована как база, на основе которой будут сформированы крупномасштабные зоны производства отдельных видов сельскохозяйственной продукции. Это позволит дифференцированно и более эффективно проводить государственную политику, в зависимости от природно-климатических и других факторов.</w:t>
      </w:r>
    </w:p>
    <w:p w:rsidR="005D5F9A" w:rsidRPr="00251C76"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Также будет проведена работа по пересмотру кредитной политики АО «НУХ «</w:t>
      </w:r>
      <w:r w:rsidRPr="00251C76">
        <w:rPr>
          <w:rFonts w:ascii="Times New Roman" w:hAnsi="Times New Roman" w:cs="Times New Roman"/>
          <w:sz w:val="28"/>
          <w:szCs w:val="28"/>
        </w:rPr>
        <w:t>Байтерек</w:t>
      </w:r>
      <w:r w:rsidRPr="00251C76">
        <w:rPr>
          <w:rFonts w:ascii="Times New Roman" w:hAnsi="Times New Roman" w:cs="Times New Roman"/>
          <w:sz w:val="28"/>
          <w:szCs w:val="28"/>
        </w:rPr>
        <w:t xml:space="preserve">», которая также должна учитывать Схему специализации. </w:t>
      </w:r>
    </w:p>
    <w:p w:rsidR="005D5F9A" w:rsidRPr="00251C76"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 xml:space="preserve">Схема специализации не будет запрещать производить любые другие продукты, которые ею не предусмотрены, но мерами </w:t>
      </w:r>
      <w:r w:rsidRPr="00251C76">
        <w:rPr>
          <w:rFonts w:ascii="Times New Roman" w:hAnsi="Times New Roman" w:cs="Times New Roman"/>
          <w:sz w:val="28"/>
          <w:szCs w:val="28"/>
        </w:rPr>
        <w:t>гос</w:t>
      </w:r>
      <w:r w:rsidRPr="00251C76">
        <w:rPr>
          <w:rFonts w:ascii="Times New Roman" w:hAnsi="Times New Roman" w:cs="Times New Roman"/>
          <w:sz w:val="28"/>
          <w:szCs w:val="28"/>
          <w:lang w:val="kk-KZ"/>
        </w:rPr>
        <w:t>ударственной</w:t>
      </w:r>
      <w:r w:rsidRPr="00251C76">
        <w:rPr>
          <w:rFonts w:ascii="Times New Roman" w:hAnsi="Times New Roman" w:cs="Times New Roman"/>
          <w:sz w:val="28"/>
          <w:szCs w:val="28"/>
          <w:lang w:val="kk-KZ"/>
        </w:rPr>
        <w:t xml:space="preserve"> </w:t>
      </w:r>
      <w:r w:rsidRPr="00251C76">
        <w:rPr>
          <w:rFonts w:ascii="Times New Roman" w:hAnsi="Times New Roman" w:cs="Times New Roman"/>
          <w:sz w:val="28"/>
          <w:szCs w:val="28"/>
        </w:rPr>
        <w:t>поддержки такое производство охватываться не будет.</w:t>
      </w:r>
    </w:p>
    <w:p w:rsidR="005D5F9A" w:rsidRPr="00251C76"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На сегодняшний день внедрение технологий точного земледелия сдерживается отсутствием почвенных картограмм, данных по агрохимическому составу почвы и фитосанитарному состоянию полей. В этой связи, Республиканским научно-методическим центром агрохимической службы (РНМЦАС) планируется обновить методику определения агрохимического состава почвы в соответствии с требованиями технологии точного земледелия. При этом планируется для исследования брать пробу почвы с каждых 10 гектаров, вместо сегодняшних 75 гектаров. Также, в настоящее время в рамках Нацпроекта предусматриваются меры по увеличению площади проведения ежегодного агрохимического обследования почв до 3,8 млн. га.</w:t>
      </w:r>
    </w:p>
    <w:p w:rsidR="005D5F9A" w:rsidRPr="00251C76"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Кроме того, в целях развития рынка услуг в данной сфере предусматриваются меры по вовлечению частных агрохимических лабораторий в проведение мониторинга плодородия земель. Так, в рамках программы субсидирования минеральных удобрений аграрии могут также воспользоваться агрохимической картограммой, выданной любой частной аккредитованной лабораторией. В целях создания достаточной инфраструктуры агрохимических лабораторий с 2020 года в рамках инвестиционного субсидирования предусмотрена поддержка для новых лабораторий путем частичного возмещения затрат (25%) на приобретение оборудования. За счет этой меры поддержки в регионах открываются новые лаборатории, оснащенные современным автоматизированным оборудованием.</w:t>
      </w:r>
    </w:p>
    <w:p w:rsidR="005D5F9A" w:rsidRPr="00251C76"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 xml:space="preserve">Для стимулирования внесения удобрений государством осуществляется поддержка путем субсидирования стоимости минеральных удобрений. В целом, за пять лет наблюдается рост объема внесения минеральных удобрений в 2 раза </w:t>
      </w:r>
      <w:r w:rsidRPr="00251C76">
        <w:rPr>
          <w:rFonts w:ascii="Times New Roman" w:hAnsi="Times New Roman" w:cs="Times New Roman"/>
          <w:sz w:val="28"/>
          <w:szCs w:val="28"/>
        </w:rPr>
        <w:t>с 260,9 тыс. тонн в 2016 году до 533,0 тыс. тонн в 2020 году. В 2021 году на субсидирование стоимости минеральных удобрений предусмотрено 28,0 млрд. тенге.</w:t>
      </w:r>
    </w:p>
    <w:p w:rsidR="00356AA3"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В целях эффективного применения удобрений с учетом содержания в почве питательных элементов в рамках программы субсидирования минеральных удобрений с 2023 года будет введено в действие условие для аграриев по наличию агрохимических картограмм. Выплата субсидий будет осуществляться с учетом данных агрохимической картограммы, что позволит стимулировать точечное применение удобрений, где это необходимо.</w:t>
      </w:r>
    </w:p>
    <w:p w:rsidR="00356AA3" w:rsidRPr="00356AA3" w:rsidP="00356AA3">
      <w:pPr>
        <w:spacing w:after="0" w:line="240" w:lineRule="auto"/>
        <w:ind w:firstLine="709"/>
        <w:jc w:val="both"/>
        <w:rPr>
          <w:rFonts w:ascii="Times New Roman" w:eastAsia="Calibri" w:hAnsi="Times New Roman" w:cs="Times New Roman"/>
          <w:color w:val="333333"/>
          <w:sz w:val="28"/>
          <w:szCs w:val="23"/>
          <w:shd w:val="clear" w:color="auto" w:fill="FFFFFF"/>
        </w:rPr>
      </w:pPr>
      <w:r w:rsidRPr="00356AA3">
        <w:rPr>
          <w:rFonts w:ascii="Times New Roman" w:eastAsia="Calibri" w:hAnsi="Times New Roman" w:cs="Times New Roman"/>
          <w:color w:val="333333"/>
          <w:sz w:val="28"/>
          <w:szCs w:val="23"/>
          <w:shd w:val="clear" w:color="auto" w:fill="FFFFFF"/>
        </w:rPr>
        <w:t>Положительная динамика наблюдается по внесению органических удобрений. Так, по статистическим данным в 2020 году внесено 1,2 млн. тонн органических удобрений, что в 2 раза больше 2019 года и в 2,9 раз – 2018 года. В целях увеличения объемов применения органических удобрений в рамках проекта Концепции рассматривается вопрос субсидирования производства и приобретения органических видов удобрений промышленного происхождения. В свете популяризации разв</w:t>
      </w:r>
      <w:bookmarkStart w:id="0" w:name="_GoBack"/>
      <w:bookmarkEnd w:id="0"/>
      <w:r w:rsidRPr="00356AA3">
        <w:rPr>
          <w:rFonts w:ascii="Times New Roman" w:eastAsia="Calibri" w:hAnsi="Times New Roman" w:cs="Times New Roman"/>
          <w:color w:val="333333"/>
          <w:sz w:val="28"/>
          <w:szCs w:val="23"/>
          <w:shd w:val="clear" w:color="auto" w:fill="FFFFFF"/>
        </w:rPr>
        <w:t>ития органического земледелия данная мера послужит стимулом для аграриев в использовании органических удобрений.</w:t>
      </w:r>
    </w:p>
    <w:p w:rsidR="005D5F9A" w:rsidRPr="00251C76" w:rsidP="005D5F9A">
      <w:pPr>
        <w:tabs>
          <w:tab w:val="left" w:pos="708"/>
          <w:tab w:val="left" w:pos="1245"/>
        </w:tabs>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 xml:space="preserve">Система страхования в АПК совершенствуется на постоянной основе. Только с января 2020 года внедрена новая система добровольного страхования, которая предусматривает: </w:t>
      </w:r>
    </w:p>
    <w:p w:rsidR="005D5F9A" w:rsidRPr="00251C76"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 xml:space="preserve">- добровольный характер страхования; </w:t>
      </w:r>
    </w:p>
    <w:p w:rsidR="005D5F9A" w:rsidRPr="00251C76" w:rsidP="005D5F9A">
      <w:pPr>
        <w:spacing w:after="0" w:line="240" w:lineRule="auto"/>
        <w:ind w:firstLine="709"/>
        <w:jc w:val="both"/>
        <w:rPr>
          <w:rFonts w:ascii="Times New Roman" w:hAnsi="Times New Roman" w:cs="Times New Roman"/>
          <w:sz w:val="28"/>
          <w:szCs w:val="28"/>
        </w:rPr>
      </w:pPr>
      <w:r w:rsidRPr="00251C76">
        <w:rPr>
          <w:rFonts w:ascii="Times New Roman" w:hAnsi="Times New Roman" w:cs="Times New Roman"/>
          <w:sz w:val="28"/>
          <w:szCs w:val="28"/>
        </w:rPr>
        <w:t xml:space="preserve">- изменение формы государственной поддержки страхования, если раньше субсидировались страховые выплаты, то в рамках новой системы субсидированию подлежат страховые премии;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 все процедуры, начиная от заключения договора, заканчивая выплатами, производятся на электронной платформе. Все процессы автоматизированы, что исключает влияние человеческого фактора и обеспечивает их прозрачность. Система страхования новая и необходимо время для ее внедрения путем проведения широкой разъяснительной работы в т. ч. в рамках программы по распространению знаний.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На сегодняшний день страхованию подлежат зерновые (пшеница, овёс, ячмень) и масличные культуры (подсолнечник, лён, рапс, кукуруза) на территории </w:t>
      </w:r>
      <w:r w:rsidRPr="00251C76">
        <w:rPr>
          <w:rFonts w:ascii="Times New Roman" w:hAnsi="Times New Roman" w:cs="Times New Roman"/>
          <w:sz w:val="28"/>
          <w:szCs w:val="28"/>
        </w:rPr>
        <w:t>Акмолинской</w:t>
      </w:r>
      <w:r w:rsidRPr="00251C76">
        <w:rPr>
          <w:rFonts w:ascii="Times New Roman" w:hAnsi="Times New Roman" w:cs="Times New Roman"/>
          <w:sz w:val="28"/>
          <w:szCs w:val="28"/>
        </w:rPr>
        <w:t xml:space="preserve">, Актюбинской, Восточно-Казахстанской, </w:t>
      </w:r>
      <w:r w:rsidRPr="00251C76">
        <w:rPr>
          <w:rFonts w:ascii="Times New Roman" w:hAnsi="Times New Roman" w:cs="Times New Roman"/>
          <w:sz w:val="28"/>
          <w:szCs w:val="28"/>
        </w:rPr>
        <w:t>Западно-Казахстанской</w:t>
      </w:r>
      <w:r w:rsidRPr="00251C76">
        <w:rPr>
          <w:rFonts w:ascii="Times New Roman" w:hAnsi="Times New Roman" w:cs="Times New Roman"/>
          <w:sz w:val="28"/>
          <w:szCs w:val="28"/>
        </w:rPr>
        <w:t xml:space="preserve">, Северо-Казахстанской, Карагандинской, </w:t>
      </w:r>
      <w:r w:rsidRPr="00251C76">
        <w:rPr>
          <w:rFonts w:ascii="Times New Roman" w:hAnsi="Times New Roman" w:cs="Times New Roman"/>
          <w:sz w:val="28"/>
          <w:szCs w:val="28"/>
        </w:rPr>
        <w:t>Костанайской</w:t>
      </w:r>
      <w:r w:rsidRPr="00251C76">
        <w:rPr>
          <w:rFonts w:ascii="Times New Roman" w:hAnsi="Times New Roman" w:cs="Times New Roman"/>
          <w:sz w:val="28"/>
          <w:szCs w:val="28"/>
        </w:rPr>
        <w:t xml:space="preserve"> и Павлодарской областей.</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Кроме того, в страховании в животноводстве также был утвержден страховой продукт – страхование КРС, МРС, лошадей и птицы. Продукт является </w:t>
      </w:r>
      <w:r w:rsidRPr="00251C76">
        <w:rPr>
          <w:rFonts w:ascii="Times New Roman" w:hAnsi="Times New Roman" w:cs="Times New Roman"/>
          <w:sz w:val="28"/>
          <w:szCs w:val="28"/>
        </w:rPr>
        <w:t>мультирисковым</w:t>
      </w:r>
      <w:r w:rsidRPr="00251C76">
        <w:rPr>
          <w:rFonts w:ascii="Times New Roman" w:hAnsi="Times New Roman" w:cs="Times New Roman"/>
          <w:sz w:val="28"/>
          <w:szCs w:val="28"/>
        </w:rPr>
        <w:t xml:space="preserve"> – в число рисков включены инфекционные и особо опасные болезни, пожар, злоумышленные действия третьих лиц, опасные природные или стихийные явления, а также несчастные случаи – удар молнии, нападение зверей, травматические повреждения, не совместимые с жизнью и другие.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Также необходимо отметить, что для повышения заинтересованности населения в </w:t>
      </w:r>
      <w:r w:rsidRPr="00251C76">
        <w:rPr>
          <w:rFonts w:ascii="Times New Roman" w:hAnsi="Times New Roman" w:cs="Times New Roman"/>
          <w:sz w:val="28"/>
          <w:szCs w:val="28"/>
        </w:rPr>
        <w:t>агростраховании</w:t>
      </w:r>
      <w:r w:rsidRPr="00251C76">
        <w:rPr>
          <w:rFonts w:ascii="Times New Roman" w:hAnsi="Times New Roman" w:cs="Times New Roman"/>
          <w:sz w:val="28"/>
          <w:szCs w:val="28"/>
        </w:rPr>
        <w:t xml:space="preserve"> рассматривается вопрос по увеличению размера субсидирования страховой премии.</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В рамках Нацпроекта также предусмотрены мероприятия по поддержке страхования в агропромышленном комплексе и развитию рынка </w:t>
      </w:r>
      <w:r w:rsidRPr="00251C76">
        <w:rPr>
          <w:rFonts w:ascii="Times New Roman" w:hAnsi="Times New Roman" w:cs="Times New Roman"/>
          <w:sz w:val="28"/>
          <w:szCs w:val="28"/>
        </w:rPr>
        <w:t>агрострахования</w:t>
      </w:r>
      <w:r w:rsidRPr="00251C76">
        <w:rPr>
          <w:rFonts w:ascii="Times New Roman" w:hAnsi="Times New Roman" w:cs="Times New Roman"/>
          <w:sz w:val="28"/>
          <w:szCs w:val="28"/>
        </w:rPr>
        <w:t>, в том числе через расширение перечня страховых продуктов, охваченных субсидированием.</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В целях введения в оборот орошаемых земель Правительством совместно с </w:t>
      </w:r>
      <w:r w:rsidRPr="00251C76">
        <w:rPr>
          <w:rFonts w:ascii="Times New Roman" w:hAnsi="Times New Roman" w:cs="Times New Roman"/>
          <w:sz w:val="28"/>
          <w:szCs w:val="28"/>
        </w:rPr>
        <w:t>акиматами</w:t>
      </w:r>
      <w:r w:rsidRPr="00251C76">
        <w:rPr>
          <w:rFonts w:ascii="Times New Roman" w:hAnsi="Times New Roman" w:cs="Times New Roman"/>
          <w:sz w:val="28"/>
          <w:szCs w:val="28"/>
        </w:rPr>
        <w:t xml:space="preserve"> областей реализуются проекты по реконструкции старых оросительных систем на юге республики, которые позволят снизить водопотребление и непроизводительные потери, за счет правильного </w:t>
      </w:r>
      <w:r w:rsidRPr="00251C76">
        <w:rPr>
          <w:rFonts w:ascii="Times New Roman" w:hAnsi="Times New Roman" w:cs="Times New Roman"/>
          <w:sz w:val="28"/>
          <w:szCs w:val="28"/>
        </w:rPr>
        <w:t>водорегулирования</w:t>
      </w:r>
      <w:r w:rsidRPr="00251C76">
        <w:rPr>
          <w:rFonts w:ascii="Times New Roman" w:hAnsi="Times New Roman" w:cs="Times New Roman"/>
          <w:sz w:val="28"/>
          <w:szCs w:val="28"/>
        </w:rPr>
        <w:t xml:space="preserve"> и распределения. Кроме того, планируется строительство новых оросительных систем и ряда новых водохранилищ во всех регионах республики, а не только на юге, где в настоящее время ощущается нехватка поливной воды.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Наряду с этим, ведется работа по увеличению площадей, на которых будут применяться современные </w:t>
      </w:r>
      <w:r w:rsidRPr="00251C76">
        <w:rPr>
          <w:rFonts w:ascii="Times New Roman" w:hAnsi="Times New Roman" w:cs="Times New Roman"/>
          <w:sz w:val="28"/>
          <w:szCs w:val="28"/>
        </w:rPr>
        <w:t>водосберегающие</w:t>
      </w:r>
      <w:r w:rsidRPr="00251C76">
        <w:rPr>
          <w:rFonts w:ascii="Times New Roman" w:hAnsi="Times New Roman" w:cs="Times New Roman"/>
          <w:sz w:val="28"/>
          <w:szCs w:val="28"/>
        </w:rPr>
        <w:t xml:space="preserve"> технологии поливов сельскохозяйственных культур, которые также позволят экономить поливную воду.</w:t>
      </w:r>
    </w:p>
    <w:p w:rsidR="005D5F9A" w:rsidRPr="00251C76" w:rsidP="005D5F9A">
      <w:pPr>
        <w:pStyle w:val="Default"/>
        <w:ind w:firstLine="540"/>
        <w:jc w:val="both"/>
        <w:rPr>
          <w:rFonts w:ascii="Times New Roman" w:hAnsi="Times New Roman" w:cs="Times New Roman"/>
          <w:sz w:val="28"/>
        </w:rPr>
      </w:pPr>
      <w:r w:rsidRPr="00251C76">
        <w:rPr>
          <w:rFonts w:ascii="Times New Roman" w:hAnsi="Times New Roman" w:cs="Times New Roman"/>
          <w:sz w:val="28"/>
        </w:rPr>
        <w:t>Так, между Правительством Республики Казахстан и американской компанией «</w:t>
      </w:r>
      <w:r w:rsidRPr="00251C76">
        <w:rPr>
          <w:rFonts w:ascii="Times New Roman" w:hAnsi="Times New Roman" w:cs="Times New Roman"/>
          <w:sz w:val="28"/>
        </w:rPr>
        <w:t>Valmont</w:t>
      </w:r>
      <w:r w:rsidRPr="00251C76" w:rsidR="0012255A">
        <w:rPr>
          <w:rFonts w:ascii="Times New Roman" w:hAnsi="Times New Roman" w:cs="Times New Roman"/>
          <w:sz w:val="28"/>
          <w:lang w:val="kk-KZ"/>
        </w:rPr>
        <w:t xml:space="preserve"> </w:t>
      </w:r>
      <w:r w:rsidRPr="00251C76" w:rsidR="005E7741">
        <w:rPr>
          <w:rFonts w:ascii="Times New Roman" w:hAnsi="Times New Roman" w:cs="Times New Roman"/>
          <w:sz w:val="28"/>
          <w:lang w:val="kk-KZ"/>
        </w:rPr>
        <w:t>Industries</w:t>
      </w:r>
      <w:r w:rsidRPr="00251C76" w:rsidR="00C60541">
        <w:rPr>
          <w:rFonts w:ascii="Times New Roman" w:hAnsi="Times New Roman" w:cs="Times New Roman"/>
          <w:sz w:val="28"/>
          <w:lang w:val="kk-KZ"/>
        </w:rPr>
        <w:t>,</w:t>
      </w:r>
      <w:r w:rsidRPr="00251C76" w:rsidR="005E7741">
        <w:rPr>
          <w:rFonts w:ascii="Times New Roman" w:hAnsi="Times New Roman" w:cs="Times New Roman"/>
          <w:sz w:val="28"/>
          <w:lang w:val="kk-KZ"/>
        </w:rPr>
        <w:t xml:space="preserve"> </w:t>
      </w:r>
      <w:r w:rsidRPr="00251C76" w:rsidR="005E7741">
        <w:rPr>
          <w:rFonts w:ascii="Times New Roman" w:hAnsi="Times New Roman" w:cs="Times New Roman"/>
          <w:sz w:val="28"/>
          <w:lang w:val="kk-KZ"/>
        </w:rPr>
        <w:t>Inc</w:t>
      </w:r>
      <w:r w:rsidRPr="00251C76">
        <w:rPr>
          <w:rFonts w:ascii="Times New Roman" w:hAnsi="Times New Roman" w:cs="Times New Roman"/>
          <w:sz w:val="28"/>
        </w:rPr>
        <w:t xml:space="preserve">» подписано инвестиционное соглашение, в рамках которого планируется создание сети демонстрационных ферм и строительство завода по производству современных систем орошения и управления урожайности сельскохозяйственных культур. Реализация проекта позволит увеличить площади применения </w:t>
      </w:r>
      <w:r w:rsidRPr="00251C76">
        <w:rPr>
          <w:rFonts w:ascii="Times New Roman" w:hAnsi="Times New Roman" w:cs="Times New Roman"/>
          <w:sz w:val="28"/>
        </w:rPr>
        <w:t>водосберегающих</w:t>
      </w:r>
      <w:r w:rsidRPr="00251C76">
        <w:rPr>
          <w:rFonts w:ascii="Times New Roman" w:hAnsi="Times New Roman" w:cs="Times New Roman"/>
          <w:sz w:val="28"/>
        </w:rPr>
        <w:t xml:space="preserve"> технологий, обеспечить экономию оросительной воды на 30%, тем самым повысить продуктивность орошаемых земель в 1,5-3 раза. </w:t>
      </w:r>
    </w:p>
    <w:p w:rsidR="005D5F9A" w:rsidRPr="00251C76" w:rsidP="005D5F9A">
      <w:pPr>
        <w:pStyle w:val="Default"/>
        <w:ind w:firstLine="540"/>
        <w:jc w:val="both"/>
        <w:rPr>
          <w:rFonts w:ascii="Times New Roman" w:hAnsi="Times New Roman" w:cs="Times New Roman"/>
          <w:sz w:val="28"/>
          <w:lang w:val="kk-KZ"/>
        </w:rPr>
      </w:pPr>
      <w:r w:rsidRPr="00251C76">
        <w:rPr>
          <w:rFonts w:ascii="Times New Roman" w:hAnsi="Times New Roman" w:cs="Times New Roman"/>
          <w:sz w:val="28"/>
        </w:rPr>
        <w:t xml:space="preserve">Для реализации данного инвестиционного соглашения </w:t>
      </w:r>
      <w:r w:rsidRPr="00251C76">
        <w:rPr>
          <w:rFonts w:ascii="Times New Roman" w:hAnsi="Times New Roman" w:cs="Times New Roman"/>
          <w:color w:val="auto"/>
          <w:sz w:val="28"/>
        </w:rPr>
        <w:t>в рамках</w:t>
      </w:r>
      <w:r w:rsidRPr="00251C76">
        <w:rPr>
          <w:rFonts w:ascii="Times New Roman" w:hAnsi="Times New Roman" w:cs="Times New Roman"/>
          <w:b/>
          <w:color w:val="auto"/>
          <w:sz w:val="28"/>
        </w:rPr>
        <w:t xml:space="preserve"> </w:t>
      </w:r>
      <w:r w:rsidRPr="00251C76">
        <w:rPr>
          <w:rFonts w:ascii="Times New Roman" w:hAnsi="Times New Roman" w:cs="Times New Roman"/>
          <w:color w:val="auto"/>
          <w:sz w:val="28"/>
        </w:rPr>
        <w:t xml:space="preserve">Нацпроекта </w:t>
      </w:r>
      <w:r w:rsidRPr="00251C76">
        <w:rPr>
          <w:rFonts w:ascii="Times New Roman" w:hAnsi="Times New Roman" w:cs="Times New Roman"/>
          <w:sz w:val="28"/>
        </w:rPr>
        <w:t xml:space="preserve">планируется выделение </w:t>
      </w:r>
      <w:r w:rsidRPr="00251C76" w:rsidR="00C60541">
        <w:rPr>
          <w:rFonts w:ascii="Times New Roman" w:hAnsi="Times New Roman" w:cs="Times New Roman"/>
          <w:sz w:val="28"/>
        </w:rPr>
        <w:t xml:space="preserve">средств на </w:t>
      </w:r>
      <w:r w:rsidRPr="00251C76" w:rsidR="00A6654C">
        <w:rPr>
          <w:rFonts w:ascii="Times New Roman" w:hAnsi="Times New Roman" w:cs="Times New Roman"/>
          <w:sz w:val="28"/>
        </w:rPr>
        <w:t>бюджетно</w:t>
      </w:r>
      <w:r w:rsidRPr="00251C76" w:rsidR="00C60541">
        <w:rPr>
          <w:rFonts w:ascii="Times New Roman" w:hAnsi="Times New Roman" w:cs="Times New Roman"/>
          <w:sz w:val="28"/>
        </w:rPr>
        <w:t>е</w:t>
      </w:r>
      <w:r w:rsidRPr="00251C76" w:rsidR="00A6654C">
        <w:rPr>
          <w:rFonts w:ascii="Times New Roman" w:hAnsi="Times New Roman" w:cs="Times New Roman"/>
          <w:sz w:val="28"/>
        </w:rPr>
        <w:t xml:space="preserve"> кредитовани</w:t>
      </w:r>
      <w:r w:rsidRPr="00251C76" w:rsidR="00C60541">
        <w:rPr>
          <w:rFonts w:ascii="Times New Roman" w:hAnsi="Times New Roman" w:cs="Times New Roman"/>
          <w:sz w:val="28"/>
        </w:rPr>
        <w:t>е</w:t>
      </w:r>
      <w:r w:rsidRPr="00251C76" w:rsidR="00A6654C">
        <w:rPr>
          <w:rFonts w:ascii="Times New Roman" w:hAnsi="Times New Roman" w:cs="Times New Roman"/>
          <w:sz w:val="28"/>
        </w:rPr>
        <w:t xml:space="preserve"> </w:t>
      </w:r>
      <w:r w:rsidRPr="00251C76">
        <w:rPr>
          <w:rFonts w:ascii="Times New Roman" w:hAnsi="Times New Roman" w:cs="Times New Roman"/>
          <w:sz w:val="28"/>
        </w:rPr>
        <w:t xml:space="preserve">для финансирования приобретения оросительных установок и строительно-монтажных работ для подведения инфраструктур. На эти цели в ближайшие </w:t>
      </w:r>
      <w:r w:rsidRPr="00251C76" w:rsidR="00C60541">
        <w:rPr>
          <w:rFonts w:ascii="Times New Roman" w:hAnsi="Times New Roman" w:cs="Times New Roman"/>
          <w:sz w:val="28"/>
        </w:rPr>
        <w:br/>
      </w:r>
      <w:r w:rsidRPr="00251C76">
        <w:rPr>
          <w:rFonts w:ascii="Times New Roman" w:hAnsi="Times New Roman" w:cs="Times New Roman"/>
          <w:sz w:val="28"/>
        </w:rPr>
        <w:t xml:space="preserve">5 лет из республиканского бюджета планируется выделить порядка </w:t>
      </w:r>
      <w:r w:rsidRPr="00251C76">
        <w:rPr>
          <w:rFonts w:ascii="Times New Roman" w:hAnsi="Times New Roman" w:cs="Times New Roman"/>
          <w:color w:val="auto"/>
          <w:sz w:val="28"/>
        </w:rPr>
        <w:t xml:space="preserve">77,2 </w:t>
      </w:r>
      <w:r w:rsidRPr="00251C76">
        <w:rPr>
          <w:rFonts w:ascii="Times New Roman" w:hAnsi="Times New Roman" w:cs="Times New Roman"/>
          <w:sz w:val="28"/>
        </w:rPr>
        <w:t>млрд. тенге.</w:t>
      </w:r>
      <w:r w:rsidRPr="00251C76" w:rsidR="00C60541">
        <w:rPr>
          <w:rFonts w:ascii="Times New Roman" w:hAnsi="Times New Roman" w:cs="Times New Roman"/>
          <w:sz w:val="28"/>
          <w:lang w:val="kk-KZ"/>
        </w:rPr>
        <w:t xml:space="preserve">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В части поддержки СХТП по внедрению </w:t>
      </w:r>
      <w:r w:rsidRPr="00251C76">
        <w:rPr>
          <w:rFonts w:ascii="Times New Roman" w:hAnsi="Times New Roman" w:cs="Times New Roman"/>
          <w:sz w:val="28"/>
          <w:szCs w:val="28"/>
        </w:rPr>
        <w:t>водосберегающих</w:t>
      </w:r>
      <w:r w:rsidRPr="00251C76">
        <w:rPr>
          <w:rFonts w:ascii="Times New Roman" w:hAnsi="Times New Roman" w:cs="Times New Roman"/>
          <w:sz w:val="28"/>
          <w:szCs w:val="28"/>
        </w:rPr>
        <w:t xml:space="preserve"> технологий Правительством осуществляется государственная поддержка в виде инвестиционного субсидирования, где предусматривается возмещение 50% от понесенных затрат на приобретение современных систем орошения, а также подведение всей необходимой инфраструктуры.</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Также, прорабатывается вопрос по внесению изменения в Правила субсидирования стоимости услуг по подаче воды сельскохозяйственным товаропроизводителям, в части установления субсидии на 1 м</w:t>
      </w:r>
      <w:r w:rsidRPr="00251C76">
        <w:rPr>
          <w:rFonts w:ascii="Times New Roman" w:hAnsi="Times New Roman" w:cs="Times New Roman"/>
          <w:sz w:val="28"/>
          <w:szCs w:val="28"/>
          <w:vertAlign w:val="superscript"/>
        </w:rPr>
        <w:t>3</w:t>
      </w:r>
      <w:r w:rsidRPr="00251C76">
        <w:rPr>
          <w:rFonts w:ascii="Times New Roman" w:hAnsi="Times New Roman" w:cs="Times New Roman"/>
          <w:sz w:val="28"/>
          <w:szCs w:val="28"/>
        </w:rPr>
        <w:t xml:space="preserve"> поставленной воды в зависимости от способов полива, т.е. дифференцированно с целью стимулирования процесса применения прогрессивных методов орошения.</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В результате в 2025 году площадь земель с применением </w:t>
      </w:r>
      <w:r w:rsidRPr="00251C76">
        <w:rPr>
          <w:rFonts w:ascii="Times New Roman" w:hAnsi="Times New Roman" w:cs="Times New Roman"/>
          <w:sz w:val="28"/>
          <w:szCs w:val="28"/>
        </w:rPr>
        <w:t>водосберегающих</w:t>
      </w:r>
      <w:r w:rsidRPr="00251C76">
        <w:rPr>
          <w:rFonts w:ascii="Times New Roman" w:hAnsi="Times New Roman" w:cs="Times New Roman"/>
          <w:sz w:val="28"/>
          <w:szCs w:val="28"/>
        </w:rPr>
        <w:t xml:space="preserve"> технологий </w:t>
      </w:r>
      <w:r w:rsidRPr="00251C76">
        <w:rPr>
          <w:rFonts w:ascii="Times New Roman" w:hAnsi="Times New Roman" w:cs="Times New Roman"/>
          <w:i/>
          <w:sz w:val="24"/>
          <w:szCs w:val="28"/>
        </w:rPr>
        <w:t>(капельное орошение, дождевание)</w:t>
      </w:r>
      <w:r w:rsidRPr="00251C76">
        <w:rPr>
          <w:rFonts w:ascii="Times New Roman" w:hAnsi="Times New Roman" w:cs="Times New Roman"/>
          <w:sz w:val="28"/>
          <w:szCs w:val="28"/>
        </w:rPr>
        <w:t xml:space="preserve"> будет увеличена почти в 2 раза и составит 450 тыс. га.</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rPr>
        <w:t xml:space="preserve">Для обеспечения устойчивого развития животноводства планируется </w:t>
      </w:r>
      <w:r w:rsidRPr="00251C76">
        <w:rPr>
          <w:rFonts w:ascii="Times New Roman" w:hAnsi="Times New Roman" w:cs="Times New Roman"/>
          <w:sz w:val="28"/>
          <w:szCs w:val="28"/>
        </w:rPr>
        <w:t xml:space="preserve">создать прочную кормовую базу, для этого Правительством проработаны системные меры, которые нашли отражение в проекте Дорожной карты по развитию отрасли кормопроизводства на 2022-2025 годы, который согласован с местными исполнительными органами и сейчас находится на согласовании в центральных государственных органах.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Проект Дорожной карты включает перечень целевых индикаторов по производству и заготовке кормов и следующие мероприятия:</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анализ структуры посевных площадей хозяйств животноводческого направления на предмет соответствия существующих севооборотов научно-обоснованным нормам;</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составление каждым хозяйством плана диверсификации посевных площадей сельскохозяйственных культур;</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ревизию договоров аренды земель СХТП и приведение их в соответствие с требованиями земельного законодательства;</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разработку методики определения видового состава растений на полях и пастбищах;</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разработку и внесение предложения по созданию эффективной модели обводнения пастбищ с применением мер государственной поддержки;</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внедрение встречных обязательств в мерах государственной поддержки АПК по обязательной продаже крупными производителями зерна, предприятиями по переработке масличных культур, сахарной свеклы и предприятиями комбикормовой промышленности части зернофуража, отрубей, жмыха, шрота, патоки и жома предприятиям промышленного птицеводства, комбикормовым заводам, крупным животноводческим хозяйствам по фиксированным ценам.</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Также, в Нацпроекте предусмотрено увеличение уставного капитала АО «</w:t>
      </w:r>
      <w:r w:rsidRPr="00251C76">
        <w:rPr>
          <w:rFonts w:ascii="Times New Roman" w:hAnsi="Times New Roman" w:cs="Times New Roman"/>
          <w:sz w:val="28"/>
          <w:szCs w:val="28"/>
        </w:rPr>
        <w:t>КазАгроФинанс</w:t>
      </w:r>
      <w:r w:rsidRPr="00251C76">
        <w:rPr>
          <w:rFonts w:ascii="Times New Roman" w:hAnsi="Times New Roman" w:cs="Times New Roman"/>
          <w:sz w:val="28"/>
          <w:szCs w:val="28"/>
        </w:rPr>
        <w:t>» на 79,4 млрд тенге для финансирования приобретения техники, кормозаготовительной техники и мобильных систем для последующей передачи в лизинг.</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Кроме того, получит развитие производство оригинальных семян кормовых культур.</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Полномасштабный охват системой распространения знаний субъектов АПК планируется путем создания на областном уровне центров распространения знаний и возрождения на районном уровне сельских информационно-консультационных центров, а также за счет внедрения современных форм дистанционного повышения квалификации фермеров.</w:t>
      </w:r>
    </w:p>
    <w:p w:rsidR="005D5F9A" w:rsidRPr="00251C76" w:rsidP="005D5F9A">
      <w:pPr>
        <w:pStyle w:val="Default"/>
        <w:ind w:firstLine="708"/>
        <w:jc w:val="both"/>
        <w:rPr>
          <w:rFonts w:ascii="Times New Roman" w:hAnsi="Times New Roman" w:cs="Times New Roman"/>
          <w:sz w:val="28"/>
          <w:szCs w:val="28"/>
        </w:rPr>
      </w:pPr>
      <w:r w:rsidRPr="00251C76">
        <w:rPr>
          <w:rFonts w:ascii="Times New Roman" w:hAnsi="Times New Roman" w:cs="Times New Roman"/>
          <w:sz w:val="28"/>
        </w:rPr>
        <w:t xml:space="preserve">В целях модернизации </w:t>
      </w:r>
      <w:r w:rsidRPr="00251C76">
        <w:rPr>
          <w:rFonts w:ascii="Times New Roman" w:hAnsi="Times New Roman" w:cs="Times New Roman"/>
          <w:sz w:val="28"/>
        </w:rPr>
        <w:t>гидрометеослужбы</w:t>
      </w:r>
      <w:r w:rsidRPr="00251C76">
        <w:rPr>
          <w:rFonts w:ascii="Times New Roman" w:hAnsi="Times New Roman" w:cs="Times New Roman"/>
          <w:sz w:val="28"/>
        </w:rPr>
        <w:t xml:space="preserve"> страны </w:t>
      </w:r>
      <w:r w:rsidRPr="00251C76">
        <w:rPr>
          <w:rFonts w:ascii="Times New Roman" w:hAnsi="Times New Roman" w:cs="Times New Roman"/>
          <w:sz w:val="28"/>
          <w:szCs w:val="28"/>
        </w:rPr>
        <w:t xml:space="preserve">в течение 2020-2021 года за счет средств </w:t>
      </w:r>
      <w:r w:rsidRPr="00251C76" w:rsidR="00E95D86">
        <w:rPr>
          <w:rFonts w:ascii="Times New Roman" w:hAnsi="Times New Roman" w:cs="Times New Roman"/>
          <w:sz w:val="28"/>
          <w:szCs w:val="28"/>
          <w:lang w:val="kk-KZ"/>
        </w:rPr>
        <w:t>республиканского</w:t>
      </w:r>
      <w:r w:rsidRPr="00251C76" w:rsidR="00E95D86">
        <w:rPr>
          <w:rFonts w:ascii="Times New Roman" w:hAnsi="Times New Roman" w:cs="Times New Roman"/>
          <w:sz w:val="28"/>
          <w:szCs w:val="28"/>
          <w:lang w:val="kk-KZ"/>
        </w:rPr>
        <w:t xml:space="preserve"> </w:t>
      </w:r>
      <w:r w:rsidRPr="00251C76" w:rsidR="00E95D86">
        <w:rPr>
          <w:rFonts w:ascii="Times New Roman" w:hAnsi="Times New Roman" w:cs="Times New Roman"/>
          <w:sz w:val="28"/>
          <w:szCs w:val="28"/>
          <w:lang w:val="kk-KZ"/>
        </w:rPr>
        <w:t>государственного</w:t>
      </w:r>
      <w:r w:rsidRPr="00251C76" w:rsidR="00E95D86">
        <w:rPr>
          <w:rFonts w:ascii="Times New Roman" w:hAnsi="Times New Roman" w:cs="Times New Roman"/>
          <w:sz w:val="28"/>
          <w:szCs w:val="28"/>
          <w:lang w:val="kk-KZ"/>
        </w:rPr>
        <w:t xml:space="preserve"> </w:t>
      </w:r>
      <w:r w:rsidRPr="00251C76" w:rsidR="00E95D86">
        <w:rPr>
          <w:rFonts w:ascii="Times New Roman" w:hAnsi="Times New Roman" w:cs="Times New Roman"/>
          <w:sz w:val="28"/>
          <w:szCs w:val="28"/>
          <w:lang w:val="kk-KZ"/>
        </w:rPr>
        <w:t>предприятия</w:t>
      </w:r>
      <w:r w:rsidRPr="00251C76">
        <w:rPr>
          <w:rFonts w:ascii="Times New Roman" w:hAnsi="Times New Roman" w:cs="Times New Roman"/>
          <w:sz w:val="28"/>
          <w:szCs w:val="28"/>
        </w:rPr>
        <w:t xml:space="preserve"> «</w:t>
      </w:r>
      <w:r w:rsidRPr="00251C76">
        <w:rPr>
          <w:rFonts w:ascii="Times New Roman" w:hAnsi="Times New Roman" w:cs="Times New Roman"/>
          <w:sz w:val="28"/>
          <w:szCs w:val="28"/>
        </w:rPr>
        <w:t>Казгидромет</w:t>
      </w:r>
      <w:r w:rsidRPr="00251C76">
        <w:rPr>
          <w:rFonts w:ascii="Times New Roman" w:hAnsi="Times New Roman" w:cs="Times New Roman"/>
          <w:sz w:val="28"/>
          <w:szCs w:val="28"/>
        </w:rPr>
        <w:t xml:space="preserve">» </w:t>
      </w:r>
      <w:r w:rsidRPr="00251C76" w:rsidR="00E95D86">
        <w:rPr>
          <w:rFonts w:ascii="Times New Roman" w:hAnsi="Times New Roman" w:cs="Times New Roman"/>
          <w:sz w:val="28"/>
          <w:szCs w:val="28"/>
          <w:lang w:val="kk-KZ"/>
        </w:rPr>
        <w:t>Министерства</w:t>
      </w:r>
      <w:r w:rsidRPr="00251C76" w:rsidR="00E95D86">
        <w:rPr>
          <w:rFonts w:ascii="Times New Roman" w:hAnsi="Times New Roman" w:cs="Times New Roman"/>
          <w:sz w:val="28"/>
          <w:szCs w:val="28"/>
          <w:lang w:val="kk-KZ"/>
        </w:rPr>
        <w:t xml:space="preserve"> </w:t>
      </w:r>
      <w:r w:rsidRPr="00251C76" w:rsidR="00E95D86">
        <w:rPr>
          <w:rFonts w:ascii="Times New Roman" w:hAnsi="Times New Roman" w:cs="Times New Roman"/>
          <w:sz w:val="28"/>
          <w:szCs w:val="28"/>
          <w:lang w:val="kk-KZ"/>
        </w:rPr>
        <w:t>экологии</w:t>
      </w:r>
      <w:r w:rsidRPr="00251C76" w:rsidR="00E95D86">
        <w:rPr>
          <w:rFonts w:ascii="Times New Roman" w:hAnsi="Times New Roman" w:cs="Times New Roman"/>
          <w:sz w:val="28"/>
          <w:szCs w:val="28"/>
          <w:lang w:val="kk-KZ"/>
        </w:rPr>
        <w:t xml:space="preserve">, </w:t>
      </w:r>
      <w:r w:rsidRPr="00251C76" w:rsidR="00E95D86">
        <w:rPr>
          <w:rFonts w:ascii="Times New Roman" w:hAnsi="Times New Roman" w:cs="Times New Roman"/>
          <w:sz w:val="28"/>
          <w:szCs w:val="28"/>
          <w:lang w:val="kk-KZ"/>
        </w:rPr>
        <w:t>геологии</w:t>
      </w:r>
      <w:r w:rsidRPr="00251C76" w:rsidR="00E95D86">
        <w:rPr>
          <w:rFonts w:ascii="Times New Roman" w:hAnsi="Times New Roman" w:cs="Times New Roman"/>
          <w:sz w:val="28"/>
          <w:szCs w:val="28"/>
          <w:lang w:val="kk-KZ"/>
        </w:rPr>
        <w:t xml:space="preserve"> и </w:t>
      </w:r>
      <w:r w:rsidRPr="00251C76" w:rsidR="00E95D86">
        <w:rPr>
          <w:rFonts w:ascii="Times New Roman" w:hAnsi="Times New Roman" w:cs="Times New Roman"/>
          <w:sz w:val="28"/>
          <w:szCs w:val="28"/>
          <w:lang w:val="kk-KZ"/>
        </w:rPr>
        <w:t>природных</w:t>
      </w:r>
      <w:r w:rsidRPr="00251C76" w:rsidR="00E95D86">
        <w:rPr>
          <w:rFonts w:ascii="Times New Roman" w:hAnsi="Times New Roman" w:cs="Times New Roman"/>
          <w:sz w:val="28"/>
          <w:szCs w:val="28"/>
          <w:lang w:val="kk-KZ"/>
        </w:rPr>
        <w:t xml:space="preserve"> </w:t>
      </w:r>
      <w:r w:rsidRPr="00251C76" w:rsidR="00E95D86">
        <w:rPr>
          <w:rFonts w:ascii="Times New Roman" w:hAnsi="Times New Roman" w:cs="Times New Roman"/>
          <w:sz w:val="28"/>
          <w:szCs w:val="28"/>
          <w:lang w:val="kk-KZ"/>
        </w:rPr>
        <w:t>ресурсов</w:t>
      </w:r>
      <w:r w:rsidRPr="00251C76" w:rsidR="00E95D86">
        <w:rPr>
          <w:rFonts w:ascii="Times New Roman" w:hAnsi="Times New Roman" w:cs="Times New Roman"/>
          <w:sz w:val="28"/>
          <w:szCs w:val="28"/>
          <w:lang w:val="kk-KZ"/>
        </w:rPr>
        <w:t xml:space="preserve"> </w:t>
      </w:r>
      <w:r w:rsidRPr="00251C76">
        <w:rPr>
          <w:rFonts w:ascii="Times New Roman" w:hAnsi="Times New Roman" w:cs="Times New Roman"/>
          <w:sz w:val="28"/>
          <w:szCs w:val="28"/>
        </w:rPr>
        <w:t xml:space="preserve">на 50% </w:t>
      </w:r>
      <w:r w:rsidRPr="00251C76">
        <w:rPr>
          <w:rFonts w:ascii="Times New Roman" w:hAnsi="Times New Roman" w:cs="Times New Roman"/>
          <w:sz w:val="28"/>
          <w:szCs w:val="28"/>
        </w:rPr>
        <w:t xml:space="preserve">(58 ед.) увеличено число автоматизированных пунктов, сеть наблюдений расширилась на 3% (13 ед.). Также, принимаются меры по усилению технической базы для расширения возможностей используемых методов численных прогнозов погоды (сервер), внедряются новые методы агрометеорологического прогнозирования.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Кроме того, в целях повышения доступности населению агрометеорологической информации в 2020 году запущено приложение для фермеров «</w:t>
      </w:r>
      <w:r w:rsidRPr="00251C76">
        <w:rPr>
          <w:rFonts w:ascii="Times New Roman" w:hAnsi="Times New Roman" w:cs="Times New Roman"/>
          <w:sz w:val="28"/>
          <w:szCs w:val="28"/>
        </w:rPr>
        <w:t>Agrodata</w:t>
      </w:r>
      <w:r w:rsidRPr="00251C76">
        <w:rPr>
          <w:rFonts w:ascii="Times New Roman" w:hAnsi="Times New Roman" w:cs="Times New Roman"/>
          <w:sz w:val="28"/>
          <w:szCs w:val="28"/>
        </w:rPr>
        <w:t>», в котором доступна вся основная информация, необходимая для принятия решения в растениеводстве.</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Стоит отметить, что для планирования в АПК используются долгосрочные прогнозы, которые носят консультативный характер. Долгосрочные прогнозы зависят от глобальных атмосферных процессов, на которые действуют различные факторы, такие как астрономические явления, глобальный тепло- и </w:t>
      </w:r>
      <w:r w:rsidRPr="00251C76">
        <w:rPr>
          <w:rFonts w:ascii="Times New Roman" w:hAnsi="Times New Roman" w:cs="Times New Roman"/>
          <w:sz w:val="28"/>
          <w:szCs w:val="28"/>
        </w:rPr>
        <w:t>влагообмен</w:t>
      </w:r>
      <w:r w:rsidRPr="00251C76">
        <w:rPr>
          <w:rFonts w:ascii="Times New Roman" w:hAnsi="Times New Roman" w:cs="Times New Roman"/>
          <w:sz w:val="28"/>
          <w:szCs w:val="28"/>
        </w:rPr>
        <w:t xml:space="preserve"> системы «океан-земля-атмосфера», общая циркуляция атмосферы и много других факторов.</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 xml:space="preserve">Поэтому к сожалению специалисты ни одной метеослужбы мира не могут с высокой точностью на длительный срок спрогнозировать до каких значений будет меняться температура воздуха и сколько выпадет осадков. Гидродинамическая модель атмосферы для месячных климатических прогнозов погоды дает прогноз отклонения среднемесячной температуры воздуха и осадков от многолетней нормы (выше или ниже нормы) без определения числовых значений метеопараметров. Современное развитие науки не позволяет прогнозировать погоду с высокой точностью на срок более 10-15 дней. </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eastAsia="Times New Roman" w:hAnsi="Times New Roman" w:cs="Times New Roman"/>
          <w:sz w:val="28"/>
        </w:rPr>
        <w:t>В свою очередь, для увеличения точности прогнозов погоды требуется более плотная сеть метеорологического и агрометеорологического мониторинга. На данный момент охват территории мониторингом недостаточный.</w:t>
      </w:r>
    </w:p>
    <w:p w:rsidR="005D5F9A" w:rsidRPr="00251C76" w:rsidP="005D5F9A">
      <w:pPr>
        <w:spacing w:after="0" w:line="240" w:lineRule="auto"/>
        <w:ind w:firstLine="708"/>
        <w:jc w:val="both"/>
        <w:rPr>
          <w:rFonts w:ascii="Times New Roman" w:hAnsi="Times New Roman" w:cs="Times New Roman"/>
          <w:sz w:val="28"/>
          <w:szCs w:val="28"/>
        </w:rPr>
      </w:pPr>
      <w:r w:rsidRPr="00251C76">
        <w:rPr>
          <w:rFonts w:ascii="Times New Roman" w:hAnsi="Times New Roman" w:cs="Times New Roman"/>
          <w:sz w:val="28"/>
          <w:szCs w:val="28"/>
        </w:rPr>
        <w:t>В целях же увеличения плотности наблюдательной сети и обеспечения территории агрометеорологическим мониторингом планируется организация и открытие новых агрометеорологических постов СХТП и интеграция данных наблюдений и использование их в разработке локальных агрометеорологических прогнозов. Работа в данном направлении продолжается.</w:t>
      </w:r>
    </w:p>
    <w:p w:rsidR="005D5F9A" w:rsidRPr="00251C76" w:rsidP="005D5F9A">
      <w:pPr>
        <w:tabs>
          <w:tab w:val="left" w:pos="708"/>
          <w:tab w:val="left" w:pos="1245"/>
        </w:tabs>
        <w:spacing w:after="0" w:line="240" w:lineRule="auto"/>
        <w:jc w:val="both"/>
        <w:rPr>
          <w:rFonts w:ascii="Times New Roman" w:eastAsia="Times New Roman" w:hAnsi="Times New Roman" w:cs="Times New Roman"/>
          <w:bCs/>
          <w:sz w:val="28"/>
          <w:szCs w:val="28"/>
          <w:lang w:eastAsia="ru-RU"/>
        </w:rPr>
      </w:pPr>
      <w:r w:rsidRPr="00251C76">
        <w:rPr>
          <w:rFonts w:ascii="Times New Roman" w:eastAsia="Times New Roman" w:hAnsi="Times New Roman" w:cs="Times New Roman"/>
          <w:bCs/>
          <w:spacing w:val="-20"/>
          <w:sz w:val="28"/>
          <w:szCs w:val="28"/>
          <w:lang w:eastAsia="ru-RU"/>
        </w:rPr>
        <w:tab/>
      </w:r>
      <w:r w:rsidRPr="00251C76">
        <w:rPr>
          <w:rFonts w:ascii="Times New Roman" w:eastAsia="Times New Roman" w:hAnsi="Times New Roman" w:cs="Times New Roman"/>
          <w:bCs/>
          <w:sz w:val="28"/>
          <w:szCs w:val="28"/>
          <w:lang w:eastAsia="ru-RU"/>
        </w:rPr>
        <w:t>В целом поднимаемые вопросы находятся на постоянном контроле Правительства.</w:t>
      </w:r>
    </w:p>
    <w:p w:rsidR="005D5F9A" w:rsidRPr="00251C76" w:rsidP="005D5F9A">
      <w:pPr>
        <w:tabs>
          <w:tab w:val="left" w:pos="708"/>
          <w:tab w:val="left" w:pos="1245"/>
        </w:tabs>
        <w:spacing w:after="0" w:line="240" w:lineRule="auto"/>
        <w:jc w:val="both"/>
        <w:rPr>
          <w:rFonts w:ascii="Times New Roman" w:eastAsia="Times New Roman" w:hAnsi="Times New Roman" w:cs="Times New Roman"/>
          <w:bCs/>
          <w:sz w:val="28"/>
          <w:szCs w:val="28"/>
          <w:lang w:eastAsia="ru-RU"/>
        </w:rPr>
      </w:pPr>
    </w:p>
    <w:p w:rsidR="005D5F9A" w:rsidRPr="00251C76" w:rsidP="005D5F9A">
      <w:pPr>
        <w:tabs>
          <w:tab w:val="left" w:pos="708"/>
          <w:tab w:val="left" w:pos="1245"/>
        </w:tabs>
        <w:spacing w:after="0" w:line="240" w:lineRule="auto"/>
        <w:jc w:val="both"/>
        <w:rPr>
          <w:rFonts w:ascii="Times New Roman" w:eastAsia="Times New Roman" w:hAnsi="Times New Roman" w:cs="Times New Roman"/>
          <w:bCs/>
          <w:sz w:val="28"/>
          <w:szCs w:val="28"/>
          <w:lang w:eastAsia="ru-RU"/>
        </w:rPr>
      </w:pPr>
    </w:p>
    <w:p w:rsidR="005D5F9A" w:rsidP="005D5F9A">
      <w:pPr>
        <w:tabs>
          <w:tab w:val="left" w:pos="708"/>
          <w:tab w:val="left" w:pos="1245"/>
        </w:tabs>
        <w:spacing w:after="0" w:line="240" w:lineRule="auto"/>
        <w:jc w:val="center"/>
        <w:rPr>
          <w:rFonts w:ascii="Times New Roman" w:eastAsia="Times New Roman" w:hAnsi="Times New Roman" w:cs="Times New Roman"/>
          <w:bCs/>
          <w:spacing w:val="-20"/>
          <w:sz w:val="28"/>
          <w:szCs w:val="28"/>
          <w:lang w:eastAsia="ru-RU"/>
        </w:rPr>
      </w:pPr>
      <w:r w:rsidRPr="00251C76">
        <w:rPr>
          <w:rFonts w:ascii="Times New Roman" w:eastAsia="Times New Roman" w:hAnsi="Times New Roman" w:cs="Times New Roman"/>
          <w:bCs/>
          <w:spacing w:val="-20"/>
          <w:sz w:val="28"/>
          <w:szCs w:val="28"/>
          <w:lang w:eastAsia="ru-RU"/>
        </w:rPr>
        <w:t>__________________________</w:t>
      </w:r>
    </w:p>
    <w:p w:rsidR="005D5F9A" w:rsidP="005D5F9A">
      <w:pPr>
        <w:tabs>
          <w:tab w:val="left" w:pos="708"/>
          <w:tab w:val="left" w:pos="1245"/>
        </w:tabs>
        <w:spacing w:after="0" w:line="240" w:lineRule="auto"/>
        <w:jc w:val="center"/>
        <w:rPr>
          <w:rFonts w:ascii="Times New Roman" w:eastAsia="Times New Roman" w:hAnsi="Times New Roman" w:cs="Times New Roman"/>
          <w:bCs/>
          <w:spacing w:val="-20"/>
          <w:sz w:val="28"/>
          <w:szCs w:val="28"/>
          <w:lang w:eastAsia="ru-RU"/>
        </w:rPr>
      </w:pPr>
    </w:p>
    <w:p w:rsidR="005D5F9A" w:rsidP="005D5F9A">
      <w:pPr>
        <w:tabs>
          <w:tab w:val="left" w:pos="708"/>
          <w:tab w:val="left" w:pos="1245"/>
        </w:tabs>
        <w:spacing w:after="0" w:line="240" w:lineRule="auto"/>
        <w:jc w:val="center"/>
        <w:rPr>
          <w:rFonts w:ascii="Times New Roman" w:eastAsia="Times New Roman" w:hAnsi="Times New Roman" w:cs="Times New Roman"/>
          <w:bCs/>
          <w:spacing w:val="-20"/>
          <w:sz w:val="28"/>
          <w:szCs w:val="28"/>
          <w:lang w:eastAsia="ru-RU"/>
        </w:rPr>
      </w:pPr>
    </w:p>
    <w:sectPr w:rsidSect="005D5F9A">
      <w:headerReference w:type="default" r:id="rId5"/>
      <w:pgSz w:w="11906" w:h="16838"/>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6393309"/>
      <w:docPartObj>
        <w:docPartGallery w:val="Page Numbers (Top of Page)"/>
        <w:docPartUnique/>
      </w:docPartObj>
    </w:sdtPr>
    <w:sdtContent>
      <w:p w:rsidR="00C07F35">
        <w:pPr>
          <w:pStyle w:val="Header"/>
          <w:jc w:val="center"/>
        </w:pPr>
        <w:r>
          <w:fldChar w:fldCharType="begin"/>
        </w:r>
        <w:r>
          <w:instrText>PAGE   \* MERGEFORMAT</w:instrText>
        </w:r>
        <w:r>
          <w:fldChar w:fldCharType="separate"/>
        </w:r>
        <w:r w:rsidR="00FD293F">
          <w:rPr>
            <w:noProof/>
          </w:rPr>
          <w:t>6</w:t>
        </w:r>
        <w:r>
          <w:fldChar w:fldCharType="end"/>
        </w:r>
      </w:p>
    </w:sdtContent>
  </w:sdt>
  <w:p w:rsidR="00C07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FDF4521"/>
    <w:multiLevelType w:val="hybridMultilevel"/>
    <w:tmpl w:val="0344CA7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247C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3247C8"/>
    <w:rPr>
      <w:rFonts w:ascii="Tahoma" w:hAnsi="Tahoma" w:cs="Tahoma"/>
      <w:sz w:val="16"/>
      <w:szCs w:val="16"/>
    </w:rPr>
  </w:style>
  <w:style w:type="paragraph" w:styleId="Header">
    <w:name w:val="header"/>
    <w:basedOn w:val="Normal"/>
    <w:link w:val="a0"/>
    <w:uiPriority w:val="99"/>
    <w:unhideWhenUsed/>
    <w:rsid w:val="00C07F35"/>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C07F35"/>
  </w:style>
  <w:style w:type="paragraph" w:styleId="Footer">
    <w:name w:val="footer"/>
    <w:basedOn w:val="Normal"/>
    <w:link w:val="a1"/>
    <w:uiPriority w:val="99"/>
    <w:unhideWhenUsed/>
    <w:rsid w:val="00C07F35"/>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C07F35"/>
  </w:style>
  <w:style w:type="paragraph" w:customStyle="1" w:styleId="Default">
    <w:name w:val="Default"/>
    <w:rsid w:val="009B31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76B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55C2-D00D-4FBE-8A3B-168C08CC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6</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20</cp:revision>
</cp:coreProperties>
</file>