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714465288" r:id="rId6"/>
        </w:pict>
      </w:r>
    </w:p>
    <w:p w:rsidR="00981538" w:rsidRP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8961C3" w:rsidRPr="008961C3" w:rsidP="00C7277C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1C3">
        <w:rPr>
          <w:rFonts w:ascii="Times New Roman" w:hAnsi="Times New Roman" w:cs="Times New Roman"/>
          <w:b/>
          <w:sz w:val="28"/>
          <w:szCs w:val="28"/>
          <w:lang w:val="kk-KZ"/>
        </w:rPr>
        <w:t>Премьер</w:t>
      </w:r>
      <w:r w:rsidR="00E457B1">
        <w:rPr>
          <w:rFonts w:ascii="Times New Roman" w:hAnsi="Times New Roman" w:cs="Times New Roman"/>
          <w:b/>
          <w:sz w:val="28"/>
          <w:szCs w:val="28"/>
          <w:lang w:val="kk-KZ"/>
        </w:rPr>
        <w:t> – Министру Республики Казахстан</w:t>
      </w:r>
    </w:p>
    <w:p w:rsidR="000B4960" w:rsidP="00C7277C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СМАИЛОВ</w:t>
      </w:r>
      <w:r w:rsidR="001A63CF">
        <w:rPr>
          <w:rFonts w:ascii="Times New Roman" w:hAnsi="Times New Roman" w:cs="Times New Roman"/>
          <w:b/>
          <w:sz w:val="28"/>
          <w:szCs w:val="28"/>
          <w:lang w:val="kk-KZ"/>
        </w:rPr>
        <w:t>У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A63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673B7" w:rsidP="00C7277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RPr="00E65AAB" w:rsidP="0082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Уважаемый А</w:t>
      </w:r>
      <w:r w:rsidR="00FD3E71">
        <w:rPr>
          <w:rFonts w:ascii="Times New Roman" w:hAnsi="Times New Roman" w:cs="Times New Roman"/>
          <w:b/>
          <w:sz w:val="28"/>
          <w:szCs w:val="28"/>
          <w:lang w:val="kk-KZ"/>
        </w:rPr>
        <w:t>лихан</w:t>
      </w:r>
      <w:r w:rsidRPr="008961C3" w:rsidR="008961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3E71">
        <w:rPr>
          <w:rFonts w:ascii="Times New Roman" w:hAnsi="Times New Roman" w:cs="Times New Roman"/>
          <w:b/>
          <w:sz w:val="28"/>
          <w:szCs w:val="28"/>
          <w:lang w:val="kk-KZ"/>
        </w:rPr>
        <w:t>Асхано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вич</w:t>
      </w:r>
      <w:r w:rsidRPr="00E65AA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5673B7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Рост цен на продукты питания стал главной проблемой для наших граждан. Надо сказать, что многие семьи сейчас еле сводят концы с концами, затрачивая почти все свои доходы на питание. Мы все понимаем всю сложность и беспрецедентность сложившейся ситуации на рынке продовольствия и поддерживаем своевременные действия Правительства.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24">
        <w:rPr>
          <w:rFonts w:ascii="Times New Roman" w:hAnsi="Times New Roman" w:cs="Times New Roman"/>
          <w:b/>
          <w:sz w:val="28"/>
          <w:szCs w:val="28"/>
        </w:rPr>
        <w:t xml:space="preserve">Вместе с тем, в обществе возникает резонный вопрос, почему будучи аграрной державой, входя в 10-ку мировых экспортеров основных видов с/х продукции, мы по уровню продовольственной инфляции опережаем многие страны? Нам нужно осознавать и то, что вводя запрет и квоты на экспорт сельскохозяйственных товаров можем довести фермеров до банкротства и свернуть развитие отечественного АПК.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>Главное, у нас нет системности в вопросах обеспечения продовольственной безопасности страны.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Во-первых, необходимо на законодательном уровне более точно определить понятие «продовольственная независимость». Дело в том, что нынешняя формулировка не в полной мере соответствует реальной ситуации.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b/>
          <w:sz w:val="28"/>
          <w:szCs w:val="28"/>
        </w:rPr>
        <w:t>Например, есть виды продукции, нынешние объемы производства которых превышают потребности внутреннего рынка по физиологическим нормам потребления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>, т.е. на бумаге мы обеспечиваем свою продовольственную безопасность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. Хотя на самом деле страна все еще остается </w:t>
      </w:r>
      <w:r w:rsidRPr="00A37724">
        <w:rPr>
          <w:rFonts w:ascii="Times New Roman" w:hAnsi="Times New Roman" w:cs="Times New Roman"/>
          <w:b/>
          <w:sz w:val="28"/>
          <w:szCs w:val="28"/>
        </w:rPr>
        <w:t>импортозависимой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A37724">
        <w:rPr>
          <w:rFonts w:ascii="Times New Roman" w:hAnsi="Times New Roman" w:cs="Times New Roman"/>
          <w:b/>
          <w:sz w:val="28"/>
          <w:szCs w:val="28"/>
        </w:rPr>
        <w:t>н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>ог</w:t>
      </w:r>
      <w:r w:rsidRPr="00A37724">
        <w:rPr>
          <w:rFonts w:ascii="Times New Roman" w:hAnsi="Times New Roman" w:cs="Times New Roman"/>
          <w:b/>
          <w:sz w:val="28"/>
          <w:szCs w:val="28"/>
        </w:rPr>
        <w:t>им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видам продовольствия</w:t>
      </w:r>
      <w:r w:rsidRPr="00A37724">
        <w:rPr>
          <w:rFonts w:ascii="Times New Roman" w:hAnsi="Times New Roman" w:cs="Times New Roman"/>
          <w:b/>
          <w:sz w:val="28"/>
          <w:szCs w:val="28"/>
        </w:rPr>
        <w:t>.</w:t>
      </w:r>
      <w:r w:rsidRPr="00A37724">
        <w:rPr>
          <w:rFonts w:ascii="Times New Roman" w:hAnsi="Times New Roman" w:cs="Times New Roman"/>
          <w:sz w:val="28"/>
          <w:szCs w:val="28"/>
        </w:rPr>
        <w:t xml:space="preserve"> 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>Поэтому, нам</w:t>
      </w:r>
      <w:r w:rsidRPr="00A37724">
        <w:rPr>
          <w:rFonts w:ascii="Times New Roman" w:hAnsi="Times New Roman" w:cs="Times New Roman"/>
          <w:sz w:val="28"/>
          <w:szCs w:val="28"/>
        </w:rPr>
        <w:t xml:space="preserve"> нужно по-новому подойти к определению самих </w:t>
      </w:r>
      <w:r w:rsidRPr="00A37724">
        <w:rPr>
          <w:rFonts w:ascii="Times New Roman" w:hAnsi="Times New Roman" w:cs="Times New Roman"/>
          <w:sz w:val="28"/>
          <w:szCs w:val="28"/>
        </w:rPr>
        <w:t xml:space="preserve">физиологических норм потребления с применением более совершенной методики.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Иными словами, необходимы новые подходы к прогнозированию изменения уровня 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>обеспеченности</w:t>
      </w:r>
      <w:r w:rsidRPr="00A37724">
        <w:rPr>
          <w:rFonts w:ascii="Times New Roman" w:hAnsi="Times New Roman" w:cs="Times New Roman"/>
          <w:sz w:val="28"/>
          <w:szCs w:val="28"/>
        </w:rPr>
        <w:t xml:space="preserve"> </w:t>
      </w:r>
      <w:r w:rsidRPr="00A37724">
        <w:rPr>
          <w:rFonts w:ascii="Times New Roman" w:hAnsi="Times New Roman" w:cs="Times New Roman"/>
          <w:sz w:val="28"/>
          <w:szCs w:val="28"/>
        </w:rPr>
        <w:t>населени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37724">
        <w:rPr>
          <w:rFonts w:ascii="Times New Roman" w:hAnsi="Times New Roman" w:cs="Times New Roman"/>
          <w:sz w:val="28"/>
          <w:szCs w:val="28"/>
        </w:rPr>
        <w:t xml:space="preserve"> 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>основными</w:t>
      </w:r>
      <w:r w:rsidRPr="00A37724">
        <w:rPr>
          <w:rFonts w:ascii="Times New Roman" w:hAnsi="Times New Roman" w:cs="Times New Roman"/>
          <w:sz w:val="28"/>
          <w:szCs w:val="28"/>
        </w:rPr>
        <w:t xml:space="preserve"> вид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A37724">
        <w:rPr>
          <w:rFonts w:ascii="Times New Roman" w:hAnsi="Times New Roman" w:cs="Times New Roman"/>
          <w:sz w:val="28"/>
          <w:szCs w:val="28"/>
        </w:rPr>
        <w:t xml:space="preserve"> продовольственных товаров.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24">
        <w:rPr>
          <w:rFonts w:ascii="Times New Roman" w:hAnsi="Times New Roman" w:cs="Times New Roman"/>
          <w:b/>
          <w:sz w:val="28"/>
          <w:szCs w:val="28"/>
        </w:rPr>
        <w:t>Во-вторых, у нас как во всех развитых странах должна быть принята доктрина продовольственной безопасности, определены его конкретные показатели, критерии оценки и механизмы обеспечения.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>Как можно управлять вопросами продовольственной безопасности страны, если у нас до сих пор нет полноценной методики ее мониторинга?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Во всех развитых странах эти вопросы решаются за счет установления долгосрочных хозяйственных связей, развития форвардных и фьючерсных контрактов по фиксированным ценам. Поэтому у них стабильные объемы поставок на внутренний рынок продовольственных товаров практически по фиксированным ценам.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>Поэтому у них продовольственная инфляция так не скачет как у нас.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>Можем ли мы создать у себя такую систему? Считаю, что это вполне возможно.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В частности, для этого можно было бы успешно использовать возможности мер государственной поддержки. В настоящее время </w:t>
      </w:r>
      <w:r w:rsidRPr="00A37724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r w:rsidRPr="00A37724">
        <w:rPr>
          <w:rFonts w:ascii="Times New Roman" w:hAnsi="Times New Roman" w:cs="Times New Roman"/>
          <w:sz w:val="28"/>
          <w:szCs w:val="28"/>
        </w:rPr>
        <w:t xml:space="preserve">, получая субсидии не несут никакой ответственности за состояние внутреннего продовольственного рынка, за рост цен на продовольственные товары. Более того, по многим направлениям система субсидирования превратилась в процедуру простой раздачи бюджетных денег. Она продолжает оставаться несовершенной, сложной, с высокими коррупционными рисками и низким уровнем эффективности. 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А ведь эти огромные средства, выдаваемые </w:t>
      </w:r>
      <w:r w:rsidRPr="00A3772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Pr="00A37724">
        <w:rPr>
          <w:rFonts w:ascii="Times New Roman" w:hAnsi="Times New Roman" w:cs="Times New Roman"/>
          <w:sz w:val="28"/>
          <w:szCs w:val="28"/>
        </w:rPr>
        <w:t xml:space="preserve"> в качестве субсидий, можно было бы успешно использовать для стабилизации ситуации на внутреннем рынке.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24">
        <w:rPr>
          <w:rFonts w:ascii="Times New Roman" w:hAnsi="Times New Roman" w:cs="Times New Roman"/>
          <w:b/>
          <w:sz w:val="28"/>
          <w:szCs w:val="28"/>
        </w:rPr>
        <w:t>В настоящее время основная часть сельских товаропроизводителей работает в условиях рыночной стихии, не имея постоянных рынков сбыта выращенной продукции по стабильным ценам. В основном по этой причине у наших фермеров все еще преобладает порочная психология ожидания высоких цен и поиска случайных покупателей. При такой ситуации говорить о стабильности внутреннего продовольственного рынка не приходится.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Pr="00A3772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>по примеру ведущих аграрных стран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 предлагается создать экономические условия для развития 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продовольственных </w:t>
      </w:r>
      <w:r w:rsidRPr="00A37724">
        <w:rPr>
          <w:rFonts w:ascii="Times New Roman" w:hAnsi="Times New Roman" w:cs="Times New Roman"/>
          <w:b/>
          <w:sz w:val="28"/>
          <w:szCs w:val="28"/>
        </w:rPr>
        <w:t>кластеров в АПК, используя для этого возможности субсидирования.</w:t>
      </w:r>
      <w:r w:rsidRPr="00A37724">
        <w:rPr>
          <w:rFonts w:ascii="Times New Roman" w:hAnsi="Times New Roman" w:cs="Times New Roman"/>
          <w:sz w:val="28"/>
          <w:szCs w:val="28"/>
        </w:rPr>
        <w:t xml:space="preserve"> В частности, можно было бы сделать обязательным условием получения субсидий поставк</w:t>
      </w:r>
      <w:r w:rsidR="006A24E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A37724">
        <w:rPr>
          <w:rFonts w:ascii="Times New Roman" w:hAnsi="Times New Roman" w:cs="Times New Roman"/>
          <w:sz w:val="28"/>
          <w:szCs w:val="28"/>
        </w:rPr>
        <w:t xml:space="preserve"> выращенной продукции на внутренний продовольственный рынок по форвардным контрактам и по фиксированным ценам. 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При этом за счет авансирования форвардных </w:t>
      </w:r>
      <w:r w:rsidRPr="00A37724">
        <w:rPr>
          <w:rFonts w:ascii="Times New Roman" w:hAnsi="Times New Roman" w:cs="Times New Roman"/>
          <w:b/>
          <w:sz w:val="28"/>
          <w:szCs w:val="28"/>
        </w:rPr>
        <w:t>контрактов параллельно решались бы проблемы пополнения оборотных средств сельских товаропроизводителей</w:t>
      </w:r>
      <w:r w:rsidRPr="00A377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т.е. их кредитование</w:t>
      </w:r>
      <w:r w:rsidRPr="00A37724">
        <w:rPr>
          <w:rFonts w:ascii="Times New Roman" w:hAnsi="Times New Roman" w:cs="Times New Roman"/>
          <w:b/>
          <w:sz w:val="28"/>
          <w:szCs w:val="28"/>
        </w:rPr>
        <w:t>.</w:t>
      </w:r>
    </w:p>
    <w:p w:rsidR="00E4445E" w:rsidRPr="00A37724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24">
        <w:rPr>
          <w:rFonts w:ascii="Times New Roman" w:hAnsi="Times New Roman" w:cs="Times New Roman"/>
          <w:sz w:val="28"/>
          <w:szCs w:val="28"/>
        </w:rPr>
        <w:t xml:space="preserve">Данный механизм выгоден еще и тем, 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что государство, имея гарантированные объемы поставок продукции на внутренний рынок в рамках программы субсидирования, может отказаться от применения вышеуказанных непопулярных мер, и тем самым повысить предсказуемость </w:t>
      </w:r>
      <w:r w:rsidRPr="00A37724">
        <w:rPr>
          <w:rFonts w:ascii="Times New Roman" w:hAnsi="Times New Roman" w:cs="Times New Roman"/>
          <w:b/>
          <w:sz w:val="28"/>
          <w:szCs w:val="28"/>
        </w:rPr>
        <w:t>отечественного агробизнеса</w:t>
      </w:r>
      <w:r w:rsidRPr="00A37724">
        <w:rPr>
          <w:rFonts w:ascii="Times New Roman" w:hAnsi="Times New Roman" w:cs="Times New Roman"/>
          <w:b/>
          <w:sz w:val="28"/>
          <w:szCs w:val="28"/>
        </w:rPr>
        <w:t xml:space="preserve"> ориентированного на экспорт.</w:t>
      </w:r>
    </w:p>
    <w:p w:rsidR="00D54C01" w:rsidP="00E44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724">
        <w:rPr>
          <w:rFonts w:ascii="Times New Roman" w:hAnsi="Times New Roman" w:cs="Times New Roman"/>
          <w:sz w:val="28"/>
          <w:szCs w:val="28"/>
          <w:lang w:val="kk-KZ"/>
        </w:rPr>
        <w:t>Считаем, что все эти системные изменения</w:t>
      </w:r>
      <w:r w:rsidRPr="00A37724">
        <w:rPr>
          <w:rFonts w:ascii="Times New Roman" w:hAnsi="Times New Roman" w:cs="Times New Roman"/>
          <w:sz w:val="28"/>
          <w:szCs w:val="28"/>
        </w:rPr>
        <w:t xml:space="preserve"> требуют внесения соответствующих изменений и дополнений в действующее законодательство.</w:t>
      </w:r>
    </w:p>
    <w:p w:rsidR="00721F68" w:rsidP="005F33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26FD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Вас дать ответ на депутатский запрос в предусмотренные законом сроки.</w:t>
      </w:r>
    </w:p>
    <w:p w:rsidR="004826FD" w:rsidP="0048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1F68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3"/>
        <w:gridCol w:w="5021"/>
      </w:tblGrid>
      <w:tr w:rsidTr="00721F6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10" w:type="dxa"/>
          </w:tcPr>
          <w:p w:rsidR="00721F68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уважением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5211" w:type="dxa"/>
          </w:tcPr>
          <w:p w:rsidR="00721F68" w:rsidP="00E4445E">
            <w:pPr>
              <w:spacing w:after="360"/>
              <w:ind w:left="195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E45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E45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ШБАЕВ</w:t>
            </w:r>
            <w:r w:rsidRPr="006C0D14" w:rsidR="001A63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А.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E4445E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E4445E" w:rsidP="00E4445E">
            <w:pPr>
              <w:spacing w:after="360"/>
              <w:ind w:left="195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БУЛАВКИНА О.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E4445E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E4445E" w:rsidP="00E4445E">
            <w:pPr>
              <w:spacing w:after="360"/>
              <w:ind w:left="195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ДЖУМАГАЗИЕВ М.</w:t>
            </w:r>
          </w:p>
        </w:tc>
      </w:tr>
      <w:tr w:rsidTr="00721F68">
        <w:tblPrEx>
          <w:tblW w:w="0" w:type="auto"/>
          <w:tblLook w:val="04A0"/>
        </w:tblPrEx>
        <w:tc>
          <w:tcPr>
            <w:tcW w:w="5210" w:type="dxa"/>
          </w:tcPr>
          <w:p w:rsidR="00E4445E" w:rsidP="00721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E4445E" w:rsidP="00E4445E">
            <w:pPr>
              <w:spacing w:after="360"/>
              <w:ind w:left="195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НУРАЛИЕВ А.</w:t>
            </w:r>
          </w:p>
        </w:tc>
      </w:tr>
    </w:tbl>
    <w:p w:rsidR="00721F68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18E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18E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445E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5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</w:t>
      </w:r>
      <w:r>
        <w:rPr>
          <w:rFonts w:ascii="Times New Roman" w:hAnsi="Times New Roman" w:cs="Times New Roman"/>
          <w:sz w:val="24"/>
          <w:szCs w:val="24"/>
          <w:lang w:val="kk-KZ"/>
        </w:rPr>
        <w:t>. Ержанов</w:t>
      </w:r>
      <w:r w:rsidRPr="00E66BE6" w:rsidR="00E66B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6BE6">
        <w:rPr>
          <w:rFonts w:ascii="Times New Roman" w:hAnsi="Times New Roman" w:cs="Times New Roman"/>
          <w:sz w:val="24"/>
          <w:szCs w:val="24"/>
          <w:lang w:val="kk-KZ"/>
        </w:rPr>
        <w:t>К.</w:t>
      </w: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т. 74-73-87</w:t>
      </w:r>
    </w:p>
    <w:p w:rsidR="004934FF" w:rsidRPr="00E457B1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"mailto:erzhanovk@parlam.kz" </w:instrText>
      </w:r>
      <w:r>
        <w:fldChar w:fldCharType="separate"/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erzhanovk</w:t>
      </w:r>
      <w:r w:rsidRPr="00E457B1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parlam</w:t>
      </w:r>
      <w:r w:rsidRPr="00E457B1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87327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kz</w:t>
      </w:r>
      <w:r>
        <w:fldChar w:fldCharType="end"/>
      </w:r>
      <w:r w:rsidRPr="00E45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5F33D7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1309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351" w:rsidRPr="0072535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3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3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4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351" w:rsidRPr="0072535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4FF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25351"/>
  </w:style>
  <w:style w:type="paragraph" w:styleId="Footer">
    <w:name w:val="footer"/>
    <w:basedOn w:val="Normal"/>
    <w:link w:val="a1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2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593D-5F7E-461B-A917-1A4EB7BF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