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p w:rsidR="003247C8"/>
    <w:p w:rsidR="006862A6" w:rsidRPr="00E90744" w:rsidP="00387CD9">
      <w:pPr>
        <w:shd w:val="clear" w:color="auto" w:fill="FFFFFF"/>
        <w:spacing w:after="0" w:line="240" w:lineRule="auto"/>
        <w:jc w:val="right"/>
        <w:outlineLvl w:val="1"/>
        <w:rPr>
          <w:rFonts w:ascii="Times New Roman" w:eastAsia="Times New Roman" w:hAnsi="Times New Roman" w:cs="Times New Roman"/>
          <w:bCs/>
          <w:sz w:val="28"/>
          <w:szCs w:val="24"/>
          <w:lang w:val="kk-KZ"/>
        </w:rPr>
      </w:pPr>
      <w:r w:rsidRPr="00E90744">
        <w:rPr>
          <w:rFonts w:ascii="Times New Roman" w:eastAsia="Times New Roman" w:hAnsi="Times New Roman" w:cs="Times New Roman"/>
          <w:bCs/>
          <w:sz w:val="28"/>
          <w:szCs w:val="24"/>
          <w:lang w:val="kk-KZ"/>
        </w:rPr>
        <w:t>Қосымша</w:t>
      </w:r>
    </w:p>
    <w:p w:rsidR="006D210C" w:rsidRPr="00E90744" w:rsidP="004C3821">
      <w:pPr>
        <w:shd w:val="clear" w:color="auto" w:fill="FFFFFF"/>
        <w:spacing w:after="0" w:line="240" w:lineRule="auto"/>
        <w:ind w:left="4395"/>
        <w:outlineLvl w:val="1"/>
        <w:rPr>
          <w:rFonts w:ascii="Times New Roman" w:eastAsia="Times New Roman" w:hAnsi="Times New Roman" w:cs="Times New Roman"/>
          <w:bCs/>
          <w:sz w:val="28"/>
          <w:szCs w:val="28"/>
          <w:lang w:val="kk-KZ"/>
        </w:rPr>
      </w:pPr>
    </w:p>
    <w:p w:rsidR="003A5B83" w:rsidRPr="00E90744" w:rsidP="003A5B83">
      <w:pPr>
        <w:spacing w:after="0" w:line="240" w:lineRule="auto"/>
        <w:ind w:firstLine="709"/>
        <w:jc w:val="both"/>
        <w:rPr>
          <w:rFonts w:ascii="Times New Roman" w:eastAsia="Times New Roman" w:hAnsi="Times New Roman" w:cs="Times New Roman"/>
          <w:sz w:val="28"/>
          <w:szCs w:val="28"/>
          <w:lang w:val="kk-KZ" w:eastAsia="ru-RU"/>
        </w:rPr>
      </w:pPr>
      <w:r w:rsidRPr="00E90744">
        <w:rPr>
          <w:rFonts w:ascii="Times New Roman" w:eastAsia="Times New Roman" w:hAnsi="Times New Roman" w:cs="Times New Roman"/>
          <w:sz w:val="28"/>
          <w:szCs w:val="28"/>
          <w:lang w:val="kk-KZ" w:eastAsia="ru-RU"/>
        </w:rPr>
        <w:t xml:space="preserve">Мемлекет Басшысының тапсырмасымен әзірленген Қазақстан Республикасында агроөнеркәсіптік кешенді дамытудың </w:t>
      </w:r>
      <w:r w:rsidRPr="00E90744">
        <w:rPr>
          <w:rFonts w:ascii="Times New Roman" w:eastAsia="Times New Roman" w:hAnsi="Times New Roman" w:cs="Times New Roman"/>
          <w:sz w:val="28"/>
          <w:szCs w:val="28"/>
          <w:lang w:val="kk-KZ" w:eastAsia="ru-RU"/>
        </w:rPr>
        <w:br/>
        <w:t xml:space="preserve">2021 – 2030 жылдарға арналған тұжырымдамасы (бұдан әрі – Тұжырымдама жобасы) мен агроөнеркәсіптік кешенді дамытудың </w:t>
      </w:r>
      <w:r w:rsidRPr="00E90744">
        <w:rPr>
          <w:rFonts w:ascii="Times New Roman" w:eastAsia="Times New Roman" w:hAnsi="Times New Roman" w:cs="Times New Roman"/>
          <w:sz w:val="28"/>
          <w:szCs w:val="28"/>
          <w:lang w:val="kk-KZ" w:eastAsia="ru-RU"/>
        </w:rPr>
        <w:br/>
        <w:t xml:space="preserve">2021 – 2025 жылдарға арналған ұлттық жобасында (бұдан әрі – Ұлттық жоба) АӨК-нің дамытудағы жаһандық сын-қатерлер мен әлемдік трендтер ескерілген. </w:t>
      </w:r>
    </w:p>
    <w:p w:rsidR="003A5B83" w:rsidRPr="00E90744" w:rsidP="003A5B83">
      <w:pPr>
        <w:spacing w:after="0" w:line="240" w:lineRule="auto"/>
        <w:ind w:firstLine="709"/>
        <w:jc w:val="both"/>
        <w:rPr>
          <w:rFonts w:ascii="Times New Roman" w:eastAsia="Times New Roman" w:hAnsi="Times New Roman" w:cs="Times New Roman"/>
          <w:sz w:val="28"/>
          <w:szCs w:val="28"/>
          <w:lang w:val="kk-KZ" w:eastAsia="ru-RU"/>
        </w:rPr>
      </w:pPr>
      <w:r w:rsidRPr="00E90744">
        <w:rPr>
          <w:rFonts w:ascii="Times New Roman" w:eastAsia="Times New Roman" w:hAnsi="Times New Roman" w:cs="Times New Roman"/>
          <w:sz w:val="28"/>
          <w:szCs w:val="28"/>
          <w:lang w:val="kk-KZ" w:eastAsia="ru-RU"/>
        </w:rPr>
        <w:t>Бұл құжаттардың негізгі сәттері ауа райы факторларының ауыл шаруашылығы өндірісіне теріс әсерін барынша азайту, нақты әртараптандыруды жүргізу есебінен оның жаһандық климаттық өзгерістерге тұрақтылығын арттыру болып табылады.</w:t>
      </w:r>
    </w:p>
    <w:p w:rsidR="003A5B83" w:rsidRPr="00E90744" w:rsidP="003A5B83">
      <w:pPr>
        <w:spacing w:after="0" w:line="240" w:lineRule="auto"/>
        <w:ind w:firstLine="709"/>
        <w:jc w:val="both"/>
        <w:rPr>
          <w:rFonts w:ascii="Times New Roman" w:eastAsia="Times New Roman" w:hAnsi="Times New Roman" w:cs="Times New Roman"/>
          <w:bCs/>
          <w:sz w:val="28"/>
          <w:szCs w:val="28"/>
          <w:lang w:val="kk-KZ" w:eastAsia="ru-RU"/>
        </w:rPr>
      </w:pPr>
      <w:r w:rsidRPr="00E90744">
        <w:rPr>
          <w:rFonts w:ascii="Times New Roman" w:eastAsia="Times New Roman" w:hAnsi="Times New Roman" w:cs="Times New Roman"/>
          <w:sz w:val="28"/>
          <w:szCs w:val="28"/>
          <w:lang w:val="kk-KZ" w:eastAsia="ru-RU"/>
        </w:rPr>
        <w:t xml:space="preserve">Егіншілікте бұған </w:t>
      </w:r>
      <w:r w:rsidRPr="00E90744">
        <w:rPr>
          <w:rFonts w:ascii="Times New Roman" w:eastAsia="Times New Roman" w:hAnsi="Times New Roman" w:cs="Times New Roman"/>
          <w:bCs/>
          <w:sz w:val="28"/>
          <w:szCs w:val="28"/>
          <w:lang w:val="kk-KZ" w:eastAsia="ru-RU"/>
        </w:rPr>
        <w:t xml:space="preserve">жер пайдаланушылардың қазіргі заманғы цифрлық технологияларды, ғарыштық мониторинг пен жерді қашықтықтан </w:t>
      </w:r>
      <w:r w:rsidRPr="00E90744">
        <w:rPr>
          <w:rFonts w:ascii="Times New Roman" w:eastAsia="Times New Roman" w:hAnsi="Times New Roman" w:cs="Times New Roman"/>
          <w:bCs/>
          <w:sz w:val="28"/>
          <w:szCs w:val="28"/>
          <w:lang w:val="kk-KZ" w:eastAsia="ru-RU"/>
        </w:rPr>
        <w:t>зондтауды</w:t>
      </w:r>
      <w:r w:rsidRPr="00E90744">
        <w:rPr>
          <w:rFonts w:ascii="Times New Roman" w:eastAsia="Times New Roman" w:hAnsi="Times New Roman" w:cs="Times New Roman"/>
          <w:bCs/>
          <w:sz w:val="28"/>
          <w:szCs w:val="28"/>
          <w:lang w:val="kk-KZ" w:eastAsia="ru-RU"/>
        </w:rPr>
        <w:t xml:space="preserve"> пайдалана отырып, жалдау шарттары шеңберінде өздерінің міндеттемелерін орындауына бақылау тетіктерін қатар әзірлей отырып, әртараптандыру және әртараптандыру процесін мемлекеттік реттеу шаралары есебінен өндіріс тәуекелдерін азайтудың қажеттілігі мен артықшылықтары туралы ауыл шаруашылығы тауарын өндірушілер (бұдан әрі – АШТӨ) арасында кеңінен түсіндіру жұмыстарын жүргізу есебінен қол жеткізілетін болады.</w:t>
      </w:r>
    </w:p>
    <w:p w:rsidR="003A5B83" w:rsidRPr="00E90744" w:rsidP="003A5B83">
      <w:pPr>
        <w:spacing w:after="0" w:line="240" w:lineRule="auto"/>
        <w:ind w:firstLine="709"/>
        <w:jc w:val="both"/>
        <w:rPr>
          <w:rFonts w:ascii="Times New Roman" w:eastAsia="Times New Roman" w:hAnsi="Times New Roman" w:cs="Times New Roman"/>
          <w:bCs/>
          <w:sz w:val="28"/>
          <w:szCs w:val="28"/>
          <w:lang w:val="kk-KZ" w:eastAsia="ru-RU"/>
        </w:rPr>
      </w:pPr>
      <w:r w:rsidRPr="00E90744">
        <w:rPr>
          <w:rFonts w:ascii="Times New Roman" w:eastAsia="Times New Roman" w:hAnsi="Times New Roman" w:cs="Times New Roman"/>
          <w:bCs/>
          <w:sz w:val="28"/>
          <w:szCs w:val="28"/>
          <w:lang w:val="kk-KZ" w:eastAsia="ru-RU"/>
        </w:rPr>
        <w:t xml:space="preserve">Нәтижесінде азықтық дақылдарды өсіру алаңы олардың ауыспалы егістегі үлесін ғылыми негізделген нормаларға дейін жеткізе отырып, кем дегенде 2 есе ұлғайту болжанады. Сондай-ақ, тамырын және үстіңгі бөлігін жақсарту, жаңа жайылымдық жерлерді суландырудың неғұрлым тиімді моделін қолдану арқылы оларды айналымға тарту жолымен жайылымдардың </w:t>
      </w:r>
      <w:r w:rsidRPr="00E90744">
        <w:rPr>
          <w:rFonts w:ascii="Times New Roman" w:eastAsia="Times New Roman" w:hAnsi="Times New Roman" w:cs="Times New Roman"/>
          <w:bCs/>
          <w:sz w:val="28"/>
          <w:szCs w:val="28"/>
          <w:lang w:val="kk-KZ" w:eastAsia="ru-RU"/>
        </w:rPr>
        <w:t>өнімділігін</w:t>
      </w:r>
      <w:r w:rsidRPr="00E90744">
        <w:rPr>
          <w:rFonts w:ascii="Times New Roman" w:eastAsia="Times New Roman" w:hAnsi="Times New Roman" w:cs="Times New Roman"/>
          <w:bCs/>
          <w:sz w:val="28"/>
          <w:szCs w:val="28"/>
          <w:lang w:val="kk-KZ" w:eastAsia="ru-RU"/>
        </w:rPr>
        <w:t xml:space="preserve"> арттырудың жаңа тәсілдері әзірленетін және енгізілетін болады.  </w:t>
      </w:r>
    </w:p>
    <w:p w:rsidR="003A5B83" w:rsidRPr="00E90744" w:rsidP="003A5B83">
      <w:pPr>
        <w:spacing w:after="0" w:line="240" w:lineRule="auto"/>
        <w:ind w:firstLine="709"/>
        <w:jc w:val="both"/>
        <w:rPr>
          <w:rFonts w:ascii="Times New Roman" w:eastAsia="Times New Roman" w:hAnsi="Times New Roman" w:cs="Times New Roman"/>
          <w:bCs/>
          <w:sz w:val="28"/>
          <w:szCs w:val="28"/>
          <w:lang w:val="kk-KZ" w:eastAsia="ru-RU"/>
        </w:rPr>
      </w:pPr>
      <w:r w:rsidRPr="00E90744">
        <w:rPr>
          <w:rFonts w:ascii="Times New Roman" w:eastAsia="Times New Roman" w:hAnsi="Times New Roman" w:cs="Times New Roman"/>
          <w:bCs/>
          <w:sz w:val="28"/>
          <w:szCs w:val="28"/>
          <w:lang w:val="kk-KZ" w:eastAsia="ru-RU"/>
        </w:rPr>
        <w:t xml:space="preserve">Тұқым шаруашылығының нақты жүйесін құру өсімдік шаруашылығының тұрақты дамуының маңызды құрамдас бөлігі болып табылады. Отандық тұқым шаруашылығын дамыту үшін ғылыми ұйымдарды гендік инженерияға негізделген және жаңа сорттарды өсіру мерзімін екі есе қысқартуға мүмкіндік беретін селекцияның қазіргі заманғы әдістеріне көшіру жоспарлануда. Ол үшін осы әдістерді меңгерген тиісті кадрларды даярлау қажет, сондай-ақ тұқымдық материал қозғалысын қадағалаудың цифрлық жүйесін құру жоспарлануда. Қазіргі уақытта осы бағдарламалық өнімді жасау бойынша жұмыс басталды. </w:t>
      </w:r>
    </w:p>
    <w:p w:rsidR="003A5B83" w:rsidRPr="00E90744" w:rsidP="003A5B83">
      <w:pPr>
        <w:spacing w:after="0" w:line="240" w:lineRule="auto"/>
        <w:ind w:firstLine="709"/>
        <w:jc w:val="both"/>
        <w:rPr>
          <w:rFonts w:ascii="Times New Roman" w:eastAsia="Times New Roman" w:hAnsi="Times New Roman" w:cs="Times New Roman"/>
          <w:bCs/>
          <w:sz w:val="28"/>
          <w:szCs w:val="28"/>
          <w:lang w:val="kk-KZ" w:eastAsia="ru-RU"/>
        </w:rPr>
      </w:pPr>
      <w:r w:rsidRPr="00E90744">
        <w:rPr>
          <w:rFonts w:ascii="Times New Roman" w:eastAsia="Times New Roman" w:hAnsi="Times New Roman" w:cs="Times New Roman"/>
          <w:bCs/>
          <w:sz w:val="28"/>
          <w:szCs w:val="28"/>
          <w:lang w:val="kk-KZ" w:eastAsia="ru-RU"/>
        </w:rPr>
        <w:t>Сонымен қатар, Тұжырымдама жобасының шеңберінде тұқым шаруашылығын дамыту үшін тұқым өндірушілерді аттестаттау жөніндегі құзыретті мемлекеттен өзін-өзі реттейтін ортаға беру жүзеге асырылатын болады. Бұл селекционерлер мен тұқым шаруашылығы субъектілерінің мүдделерін қорғауды қамтамасыз етеді, тұқым шаруашылығы субъектілерінің белсенділігін арттырады, тұқым өндіру технологиясына бақылауды күшейтеді.</w:t>
      </w:r>
    </w:p>
    <w:p w:rsidR="003A5B83" w:rsidRPr="00E90744" w:rsidP="003A5B83">
      <w:pPr>
        <w:spacing w:after="0" w:line="240" w:lineRule="auto"/>
        <w:ind w:firstLine="709"/>
        <w:jc w:val="both"/>
        <w:rPr>
          <w:rFonts w:ascii="Times New Roman" w:eastAsia="Times New Roman" w:hAnsi="Times New Roman" w:cs="Times New Roman"/>
          <w:bCs/>
          <w:sz w:val="28"/>
          <w:szCs w:val="28"/>
          <w:lang w:val="kk-KZ" w:eastAsia="ru-RU"/>
        </w:rPr>
      </w:pPr>
      <w:r w:rsidRPr="00E90744">
        <w:rPr>
          <w:rFonts w:ascii="Times New Roman" w:eastAsia="Times New Roman" w:hAnsi="Times New Roman" w:cs="Times New Roman"/>
          <w:bCs/>
          <w:sz w:val="28"/>
          <w:szCs w:val="28"/>
          <w:lang w:val="kk-KZ" w:eastAsia="ru-RU"/>
        </w:rPr>
        <w:t xml:space="preserve">Қазақстан үшін маңызды қадам Өсімдіктердің жаңа сорттарын қорғау жөніндегі халықаралық одаққа (UPOV) қосылу болады – бұл елге әлемдік селекция жетістіктеріне қол жеткізуге мүмкіндік береді. Сонымен қатар, қосылу </w:t>
      </w:r>
      <w:r w:rsidRPr="00E90744">
        <w:rPr>
          <w:rFonts w:ascii="Times New Roman" w:eastAsia="Times New Roman" w:hAnsi="Times New Roman" w:cs="Times New Roman"/>
          <w:bCs/>
          <w:sz w:val="28"/>
          <w:szCs w:val="28"/>
          <w:lang w:val="kk-KZ" w:eastAsia="ru-RU"/>
        </w:rPr>
        <w:t>халықаралық нормаларды ескере отырып, селекционерлердің зияткерлік меншігін қорғауды қамтамасыз етеді, сонымен қатар UPOV-</w:t>
      </w:r>
      <w:r w:rsidRPr="00E90744">
        <w:rPr>
          <w:rFonts w:ascii="Times New Roman" w:eastAsia="Times New Roman" w:hAnsi="Times New Roman" w:cs="Times New Roman"/>
          <w:bCs/>
          <w:sz w:val="28"/>
          <w:szCs w:val="28"/>
          <w:lang w:val="kk-KZ" w:eastAsia="ru-RU"/>
        </w:rPr>
        <w:t>ке</w:t>
      </w:r>
      <w:r w:rsidRPr="00E90744">
        <w:rPr>
          <w:rFonts w:ascii="Times New Roman" w:eastAsia="Times New Roman" w:hAnsi="Times New Roman" w:cs="Times New Roman"/>
          <w:bCs/>
          <w:sz w:val="28"/>
          <w:szCs w:val="28"/>
          <w:lang w:val="kk-KZ" w:eastAsia="ru-RU"/>
        </w:rPr>
        <w:t xml:space="preserve"> мүше елдермен шетелдік ең жақсы іріктелген сорттардың тұқымдарымен еркін сауданы дамытуға ынталандырады.</w:t>
      </w:r>
    </w:p>
    <w:p w:rsidR="003A5B83" w:rsidRPr="00E90744" w:rsidP="003A5B83">
      <w:pPr>
        <w:spacing w:after="0" w:line="240" w:lineRule="auto"/>
        <w:ind w:firstLine="709"/>
        <w:jc w:val="both"/>
        <w:rPr>
          <w:rFonts w:ascii="Times New Roman" w:eastAsia="Times New Roman" w:hAnsi="Times New Roman" w:cs="Times New Roman"/>
          <w:bCs/>
          <w:sz w:val="28"/>
          <w:szCs w:val="28"/>
          <w:lang w:val="kk-KZ" w:eastAsia="ru-RU"/>
        </w:rPr>
      </w:pPr>
      <w:r w:rsidRPr="00E90744">
        <w:rPr>
          <w:rFonts w:ascii="Times New Roman" w:eastAsia="Times New Roman" w:hAnsi="Times New Roman" w:cs="Times New Roman"/>
          <w:bCs/>
          <w:sz w:val="28"/>
          <w:szCs w:val="28"/>
          <w:lang w:val="kk-KZ" w:eastAsia="ru-RU"/>
        </w:rPr>
        <w:t>Қазақстанның тұқым нарығын ауыл шаруашылығы дақылдарының тиімсіз сорттарын және генетикалық түрлендірілген сорттардың тұқымдарын әкелуден және пайдаланудан қорғау мақсатында селекциялық жетістіктердің мемлекеттік тізілімін жүргізудің рұқсат беру (шектеу) сипатына қайта оралу жүзеге асырылатын болады.</w:t>
      </w:r>
    </w:p>
    <w:p w:rsidR="003A5B83" w:rsidRPr="00E90744" w:rsidP="003A5B83">
      <w:pPr>
        <w:spacing w:after="0" w:line="240" w:lineRule="auto"/>
        <w:ind w:firstLine="708"/>
        <w:jc w:val="both"/>
        <w:rPr>
          <w:rFonts w:ascii="Times New Roman" w:eastAsia="Times New Roman" w:hAnsi="Times New Roman" w:cs="Times New Roman"/>
          <w:bCs/>
          <w:sz w:val="28"/>
          <w:szCs w:val="28"/>
          <w:lang w:val="kk-KZ" w:eastAsia="ru-RU"/>
        </w:rPr>
      </w:pPr>
      <w:r w:rsidRPr="00E90744">
        <w:rPr>
          <w:rFonts w:ascii="Times New Roman" w:eastAsia="Times New Roman" w:hAnsi="Times New Roman" w:cs="Times New Roman"/>
          <w:bCs/>
          <w:sz w:val="28"/>
          <w:szCs w:val="28"/>
          <w:lang w:val="kk-KZ" w:eastAsia="ru-RU"/>
        </w:rPr>
        <w:t>Сондай-ақ Тұжырымдама жобасында өңірлерді мамандандыру схемасы негізінде АӨК-</w:t>
      </w:r>
      <w:r w:rsidRPr="00E90744">
        <w:rPr>
          <w:rFonts w:ascii="Times New Roman" w:eastAsia="Times New Roman" w:hAnsi="Times New Roman" w:cs="Times New Roman"/>
          <w:bCs/>
          <w:sz w:val="28"/>
          <w:szCs w:val="28"/>
          <w:lang w:val="kk-KZ" w:eastAsia="ru-RU"/>
        </w:rPr>
        <w:t>ге</w:t>
      </w:r>
      <w:r w:rsidRPr="00E90744">
        <w:rPr>
          <w:rFonts w:ascii="Times New Roman" w:eastAsia="Times New Roman" w:hAnsi="Times New Roman" w:cs="Times New Roman"/>
          <w:bCs/>
          <w:sz w:val="28"/>
          <w:szCs w:val="28"/>
          <w:lang w:val="kk-KZ" w:eastAsia="ru-RU"/>
        </w:rPr>
        <w:t xml:space="preserve"> мемлекеттік қолдау көрсету кезінде өңірлерді мамандандыру қағидаты көзделген, ол база ретінде пайдаланылатын болады, оның негізінде ауыл шаруашылығы өнімдерінің жекелеген түрлерін өндірудің ірі ауқымды аймақтары қалыптастырылатын болады. Бұл табиғи-климаттық және басқа да факторларға байланысты мемлекеттік саясатты сараланған және неғұрлым тиімді жүргізуге мүмкіндік береді.</w:t>
      </w:r>
    </w:p>
    <w:p w:rsidR="003A5B83" w:rsidRPr="00E90744" w:rsidP="003A5B83">
      <w:pPr>
        <w:spacing w:after="0" w:line="240" w:lineRule="auto"/>
        <w:ind w:firstLine="708"/>
        <w:jc w:val="both"/>
        <w:rPr>
          <w:rFonts w:ascii="Times New Roman" w:eastAsia="Times New Roman" w:hAnsi="Times New Roman" w:cs="Times New Roman"/>
          <w:bCs/>
          <w:sz w:val="28"/>
          <w:szCs w:val="28"/>
          <w:lang w:val="kk-KZ" w:eastAsia="ru-RU"/>
        </w:rPr>
      </w:pPr>
      <w:r w:rsidRPr="00E90744">
        <w:rPr>
          <w:rFonts w:ascii="Times New Roman" w:eastAsia="Times New Roman" w:hAnsi="Times New Roman" w:cs="Times New Roman"/>
          <w:bCs/>
          <w:sz w:val="28"/>
          <w:szCs w:val="28"/>
          <w:lang w:val="kk-KZ" w:eastAsia="ru-RU"/>
        </w:rPr>
        <w:t xml:space="preserve">Сондай-ақ, «Бәйтерек» ҰБХ» АҚ-ның кредиттік саясатын қайта қарау бойынша жұмыс жүргізілетін болады, ол мамандандыру схемасын да ескеруі тиіс. </w:t>
      </w:r>
    </w:p>
    <w:p w:rsidR="003A5B83" w:rsidRPr="00E90744" w:rsidP="003A5B83">
      <w:pPr>
        <w:spacing w:after="0" w:line="240" w:lineRule="auto"/>
        <w:ind w:firstLine="708"/>
        <w:jc w:val="both"/>
        <w:rPr>
          <w:rFonts w:ascii="Times New Roman" w:eastAsia="Times New Roman" w:hAnsi="Times New Roman" w:cs="Times New Roman"/>
          <w:bCs/>
          <w:sz w:val="28"/>
          <w:szCs w:val="28"/>
          <w:lang w:val="kk-KZ" w:eastAsia="ru-RU"/>
        </w:rPr>
      </w:pPr>
      <w:r w:rsidRPr="00E90744">
        <w:rPr>
          <w:rFonts w:ascii="Times New Roman" w:eastAsia="Times New Roman" w:hAnsi="Times New Roman" w:cs="Times New Roman"/>
          <w:bCs/>
          <w:sz w:val="28"/>
          <w:szCs w:val="28"/>
          <w:lang w:val="kk-KZ" w:eastAsia="ru-RU"/>
        </w:rPr>
        <w:t>Мамандандыру схемасы өзі көздемеген кез келген басқа өнімдерді өндіруге тыйым салмайды, бірақ мұндай өндіріс мемлекеттік қолдау шараларымен қамтылмайды.</w:t>
      </w:r>
    </w:p>
    <w:p w:rsidR="003A5B83" w:rsidRPr="00E90744" w:rsidP="003A5B83">
      <w:pPr>
        <w:spacing w:after="0" w:line="240" w:lineRule="auto"/>
        <w:ind w:firstLine="708"/>
        <w:jc w:val="both"/>
        <w:rPr>
          <w:rFonts w:ascii="Times New Roman" w:eastAsia="Times New Roman" w:hAnsi="Times New Roman" w:cs="Times New Roman"/>
          <w:bCs/>
          <w:sz w:val="28"/>
          <w:szCs w:val="28"/>
          <w:lang w:val="kk-KZ" w:eastAsia="ru-RU"/>
        </w:rPr>
      </w:pPr>
      <w:r w:rsidRPr="00E90744">
        <w:rPr>
          <w:rFonts w:ascii="Times New Roman" w:eastAsia="Times New Roman" w:hAnsi="Times New Roman" w:cs="Times New Roman"/>
          <w:bCs/>
          <w:sz w:val="28"/>
          <w:szCs w:val="28"/>
          <w:lang w:val="kk-KZ" w:eastAsia="ru-RU"/>
        </w:rPr>
        <w:t xml:space="preserve">Бүгінгі күні нақты егіншілік технологияларын енгізу топырақтың агрохимиялық құрамы мен егістіктердің фитосанитариялық жағдайы бойынша деректердің, топырақ картограммаларының жоқтығынан тежеледі. Осыған байланысты, Агрохимиялық қызметтің республикалық ғылыми-әдістемелік орталығымен (АҚРҒӘО) топырақтың агрохимиялық құрамын анықтау әдістемесін нақты егіншілік технологиясының талаптарына сәйкес жаңарту жоспарлануда. Бұл ретте, зерттеу үшін қазіргі 75 гектардың орнына, әрбір 10 гектардан топырақтың сынамасын алу жоспарланып отыр. Сондай-ақ, қазіргі уақытта Ұлттық жоба шеңберінде топырақтың жыл сайын агрохимиялық зерттеп-қарауды жүргізу алаңын 3,8 млн. </w:t>
      </w:r>
      <w:r w:rsidRPr="00E90744">
        <w:rPr>
          <w:rFonts w:ascii="Times New Roman" w:eastAsia="Times New Roman" w:hAnsi="Times New Roman" w:cs="Times New Roman"/>
          <w:bCs/>
          <w:sz w:val="28"/>
          <w:szCs w:val="28"/>
          <w:lang w:val="kk-KZ" w:eastAsia="ru-RU"/>
        </w:rPr>
        <w:t>га</w:t>
      </w:r>
      <w:r w:rsidRPr="00E90744">
        <w:rPr>
          <w:rFonts w:ascii="Times New Roman" w:eastAsia="Times New Roman" w:hAnsi="Times New Roman" w:cs="Times New Roman"/>
          <w:bCs/>
          <w:sz w:val="28"/>
          <w:szCs w:val="28"/>
          <w:lang w:val="kk-KZ" w:eastAsia="ru-RU"/>
        </w:rPr>
        <w:t xml:space="preserve"> дейін ұлғайту жөніндегі шаралар көзделеді.</w:t>
      </w:r>
    </w:p>
    <w:p w:rsidR="003A5B83" w:rsidRPr="00E90744" w:rsidP="003A5B83">
      <w:pPr>
        <w:spacing w:after="0" w:line="240" w:lineRule="auto"/>
        <w:ind w:firstLine="708"/>
        <w:jc w:val="both"/>
        <w:rPr>
          <w:rFonts w:ascii="Times New Roman" w:eastAsia="Times New Roman" w:hAnsi="Times New Roman" w:cs="Times New Roman"/>
          <w:bCs/>
          <w:sz w:val="28"/>
          <w:szCs w:val="28"/>
          <w:lang w:val="kk-KZ" w:eastAsia="ru-RU"/>
        </w:rPr>
      </w:pPr>
      <w:r w:rsidRPr="00E90744">
        <w:rPr>
          <w:rFonts w:ascii="Times New Roman" w:eastAsia="Times New Roman" w:hAnsi="Times New Roman" w:cs="Times New Roman"/>
          <w:bCs/>
          <w:sz w:val="28"/>
          <w:szCs w:val="28"/>
          <w:lang w:val="kk-KZ" w:eastAsia="ru-RU"/>
        </w:rPr>
        <w:t>Сонымен қатар, осы салада көрсетілетін қызметтер нарығын дамыту мақсатында жер құнарлылығына мониторинг жүргізуге жеке агрохимиялық зертханаларды тарту жөніндегі шаралар көзделеді. Мысалы, минералды тыңайтқыштарды субсидиялау бағдарламасы аясында фермерлер кез-келген жеке аккредиттелген зертхана берген агрохимиялық картограмманы қолдана алады. Агрохимиялық зертханалардың жеткілікті инфрақұрылымын құру мақсатында 2020 жылдан бастап инвестициялық субсидиялау шеңберінде жабдықтар сатып алуға жұмсалған шығындарды (25%) ішінара өтеу жолымен жаңа зертханалар үшін қолдау көзделген. Осы қолдау шарасының арқасында өңірлерде заманауи автоматтандырылған жабдықтармен жарақталған жаңа зертханалар ашылуда.</w:t>
      </w:r>
    </w:p>
    <w:p w:rsidR="003A5B83" w:rsidRPr="00E90744" w:rsidP="003A5B83">
      <w:pPr>
        <w:spacing w:after="0" w:line="240" w:lineRule="auto"/>
        <w:ind w:firstLine="708"/>
        <w:jc w:val="both"/>
        <w:rPr>
          <w:rFonts w:ascii="Times New Roman" w:eastAsia="Times New Roman" w:hAnsi="Times New Roman" w:cs="Times New Roman"/>
          <w:bCs/>
          <w:sz w:val="28"/>
          <w:szCs w:val="28"/>
          <w:lang w:val="kk-KZ" w:eastAsia="ru-RU"/>
        </w:rPr>
      </w:pPr>
      <w:r w:rsidRPr="00E90744">
        <w:rPr>
          <w:rFonts w:ascii="Times New Roman" w:eastAsia="Times New Roman" w:hAnsi="Times New Roman" w:cs="Times New Roman"/>
          <w:bCs/>
          <w:sz w:val="28"/>
          <w:szCs w:val="28"/>
          <w:lang w:val="kk-KZ" w:eastAsia="ru-RU"/>
        </w:rPr>
        <w:t xml:space="preserve">Тыңайтқыштарды енгізуді ынталандыру үшін мемлекет минералды тыңайтқыштардың құнын субсидиялау арқылы қолдауды жүзеге асырады. Жалпы, бес жыл ішінде минералды тыңайтқыштарды енгізу көлемінің </w:t>
      </w:r>
      <w:r w:rsidR="00F05B13">
        <w:rPr>
          <w:rFonts w:ascii="Times New Roman" w:eastAsia="Times New Roman" w:hAnsi="Times New Roman" w:cs="Times New Roman"/>
          <w:bCs/>
          <w:sz w:val="28"/>
          <w:szCs w:val="28"/>
          <w:lang w:val="kk-KZ" w:eastAsia="ru-RU"/>
        </w:rPr>
        <w:br/>
      </w:r>
      <w:r w:rsidRPr="00E90744">
        <w:rPr>
          <w:rFonts w:ascii="Times New Roman" w:eastAsia="Times New Roman" w:hAnsi="Times New Roman" w:cs="Times New Roman"/>
          <w:bCs/>
          <w:sz w:val="28"/>
          <w:szCs w:val="28"/>
          <w:lang w:val="kk-KZ" w:eastAsia="ru-RU"/>
        </w:rPr>
        <w:t xml:space="preserve">2016 жылғы 260,9 мың тоннадан 2020 жылы 533,0 мың тоннаға дейін 2 есе өсуі байқалады. 2021 жылы минералды тыңайтқыштардың құнын субсидиялауға </w:t>
      </w:r>
      <w:r w:rsidR="000E1AA3">
        <w:rPr>
          <w:rFonts w:ascii="Times New Roman" w:eastAsia="Times New Roman" w:hAnsi="Times New Roman" w:cs="Times New Roman"/>
          <w:bCs/>
          <w:sz w:val="28"/>
          <w:szCs w:val="28"/>
          <w:lang w:val="kk-KZ" w:eastAsia="ru-RU"/>
        </w:rPr>
        <w:br/>
      </w:r>
      <w:r w:rsidRPr="00E90744">
        <w:rPr>
          <w:rFonts w:ascii="Times New Roman" w:eastAsia="Times New Roman" w:hAnsi="Times New Roman" w:cs="Times New Roman"/>
          <w:bCs/>
          <w:sz w:val="28"/>
          <w:szCs w:val="28"/>
          <w:lang w:val="kk-KZ" w:eastAsia="ru-RU"/>
        </w:rPr>
        <w:t xml:space="preserve">28,0 </w:t>
      </w:r>
      <w:r w:rsidRPr="00E90744">
        <w:rPr>
          <w:rFonts w:ascii="Times New Roman" w:eastAsia="Times New Roman" w:hAnsi="Times New Roman" w:cs="Times New Roman"/>
          <w:bCs/>
          <w:sz w:val="28"/>
          <w:szCs w:val="28"/>
          <w:lang w:val="kk-KZ" w:eastAsia="ru-RU"/>
        </w:rPr>
        <w:t>млрд</w:t>
      </w:r>
      <w:r w:rsidRPr="00E90744">
        <w:rPr>
          <w:rFonts w:ascii="Times New Roman" w:eastAsia="Times New Roman" w:hAnsi="Times New Roman" w:cs="Times New Roman"/>
          <w:bCs/>
          <w:sz w:val="28"/>
          <w:szCs w:val="28"/>
          <w:lang w:val="kk-KZ" w:eastAsia="ru-RU"/>
        </w:rPr>
        <w:t xml:space="preserve"> теңге көзделген.</w:t>
      </w:r>
    </w:p>
    <w:p w:rsidR="003A5B83" w:rsidP="003A5B83">
      <w:pPr>
        <w:spacing w:after="0" w:line="240" w:lineRule="auto"/>
        <w:jc w:val="both"/>
        <w:rPr>
          <w:rFonts w:ascii="Times New Roman" w:eastAsia="Times New Roman" w:hAnsi="Times New Roman" w:cs="Times New Roman"/>
          <w:bCs/>
          <w:sz w:val="28"/>
          <w:szCs w:val="28"/>
          <w:lang w:val="kk-KZ" w:eastAsia="ru-RU"/>
        </w:rPr>
      </w:pPr>
      <w:r w:rsidRPr="00E90744">
        <w:rPr>
          <w:rFonts w:ascii="Times New Roman" w:eastAsia="Times New Roman" w:hAnsi="Times New Roman" w:cs="Times New Roman"/>
          <w:bCs/>
          <w:sz w:val="28"/>
          <w:szCs w:val="28"/>
          <w:lang w:val="kk-KZ" w:eastAsia="ru-RU"/>
        </w:rPr>
        <w:tab/>
        <w:t xml:space="preserve">Тыңайтқыштарды тиімді қолдану мақсатында топырақта қоректендіру элементтерінің болуын ескере отырып, минералды тыңайтқыштарды субсидиялау бағдарламасы шеңберінде 2023 жылдан бастап ауыл шаруашылығы еңбеккерлері үшін агрохимиялық картограмманың болуы жөніндегі шарт қолданысқа енгізілетін болады. Субсидияларды төлеу агрохимиялық картограммалардың деректерін ескере отырып жүзеге асырылатын болады, бұл тыңайтқыштарды қажет болған жағдайда, нүктелі пайдалануды ынталандыруға мүмкіндік береді. </w:t>
      </w:r>
    </w:p>
    <w:p w:rsidR="00F05B13" w:rsidRPr="00F05B13" w:rsidP="00F05B13">
      <w:pPr>
        <w:spacing w:after="0" w:line="240" w:lineRule="auto"/>
        <w:ind w:firstLine="708"/>
        <w:jc w:val="both"/>
        <w:rPr>
          <w:rFonts w:ascii="Times New Roman" w:eastAsia="Times New Roman" w:hAnsi="Times New Roman" w:cs="Times New Roman"/>
          <w:bCs/>
          <w:sz w:val="28"/>
          <w:szCs w:val="28"/>
          <w:lang w:val="kk-KZ" w:eastAsia="ru-RU"/>
        </w:rPr>
      </w:pPr>
      <w:r w:rsidRPr="00E0721B">
        <w:rPr>
          <w:rFonts w:ascii="Times New Roman" w:eastAsia="Calibri" w:hAnsi="Times New Roman" w:cs="Times New Roman"/>
          <w:sz w:val="28"/>
          <w:szCs w:val="28"/>
          <w:lang w:val="kk-KZ" w:eastAsia="ru-RU"/>
        </w:rPr>
        <w:t>Органикалық тыңайтқыштарды енгізуде оң динамика байқалады. Мәселен, статистикалық деректер бойынша 2020 жылы 1,2 млн.</w:t>
      </w:r>
      <w:r w:rsidR="000E1AA3">
        <w:rPr>
          <w:rFonts w:ascii="Times New Roman" w:eastAsia="Calibri" w:hAnsi="Times New Roman" w:cs="Times New Roman"/>
          <w:sz w:val="28"/>
          <w:szCs w:val="28"/>
          <w:lang w:val="kk-KZ" w:eastAsia="ru-RU"/>
        </w:rPr>
        <w:t xml:space="preserve"> </w:t>
      </w:r>
      <w:r w:rsidRPr="00E0721B">
        <w:rPr>
          <w:rFonts w:ascii="Times New Roman" w:eastAsia="Calibri" w:hAnsi="Times New Roman" w:cs="Times New Roman"/>
          <w:sz w:val="28"/>
          <w:szCs w:val="28"/>
          <w:lang w:val="kk-KZ" w:eastAsia="ru-RU"/>
        </w:rPr>
        <w:t>тонна органикалық тыңайтқыш енгізілді, бұл 2019 жылдан 2 есе көп және 2018 жылдан 2,9 есе көп. АӨК-</w:t>
      </w:r>
      <w:r w:rsidRPr="00E0721B">
        <w:rPr>
          <w:rFonts w:ascii="Times New Roman" w:eastAsia="Calibri" w:hAnsi="Times New Roman" w:cs="Times New Roman"/>
          <w:sz w:val="28"/>
          <w:szCs w:val="28"/>
          <w:lang w:val="kk-KZ" w:eastAsia="ru-RU"/>
        </w:rPr>
        <w:t>ні</w:t>
      </w:r>
      <w:r w:rsidRPr="00E0721B">
        <w:rPr>
          <w:rFonts w:ascii="Times New Roman" w:eastAsia="Calibri" w:hAnsi="Times New Roman" w:cs="Times New Roman"/>
          <w:sz w:val="28"/>
          <w:szCs w:val="28"/>
          <w:lang w:val="kk-KZ" w:eastAsia="ru-RU"/>
        </w:rPr>
        <w:t xml:space="preserve"> дамытудың 2021-2030 жылдарға арналған тұжырымдамасының жобасы шеңберінде органикалық тыңайтқыштарды қолдану көлемін ұлғайту мақсатында өнеркәсіптік текті органикалық тыңайтқыш түрлерін өндіруді және сатып алуды субсидиялау мәселесі қарастырылуда. Органикалық егіншілікті дамытуды танымал ету аясында бұл шара шаруаларға органикалық тыңайтқыштарды қолдануға ынталандыру болады.</w:t>
      </w:r>
    </w:p>
    <w:p w:rsidR="003A5B83" w:rsidRPr="00E90744" w:rsidP="003A5B83">
      <w:pPr>
        <w:spacing w:after="0" w:line="240" w:lineRule="auto"/>
        <w:ind w:firstLine="708"/>
        <w:jc w:val="both"/>
        <w:rPr>
          <w:rFonts w:ascii="Times New Roman" w:eastAsia="Times New Roman" w:hAnsi="Times New Roman" w:cs="Times New Roman"/>
          <w:bCs/>
          <w:sz w:val="28"/>
          <w:szCs w:val="28"/>
          <w:lang w:val="kk-KZ" w:eastAsia="ru-RU"/>
        </w:rPr>
      </w:pPr>
      <w:r w:rsidRPr="00E90744">
        <w:rPr>
          <w:rFonts w:ascii="Times New Roman" w:eastAsia="Times New Roman" w:hAnsi="Times New Roman" w:cs="Times New Roman"/>
          <w:bCs/>
          <w:sz w:val="28"/>
          <w:szCs w:val="28"/>
          <w:lang w:val="kk-KZ" w:eastAsia="ru-RU"/>
        </w:rPr>
        <w:t>АӨК-</w:t>
      </w:r>
      <w:r w:rsidRPr="00E90744">
        <w:rPr>
          <w:rFonts w:ascii="Times New Roman" w:eastAsia="Times New Roman" w:hAnsi="Times New Roman" w:cs="Times New Roman"/>
          <w:bCs/>
          <w:sz w:val="28"/>
          <w:szCs w:val="28"/>
          <w:lang w:val="kk-KZ" w:eastAsia="ru-RU"/>
        </w:rPr>
        <w:t>дегі</w:t>
      </w:r>
      <w:r w:rsidRPr="00E90744">
        <w:rPr>
          <w:rFonts w:ascii="Times New Roman" w:eastAsia="Times New Roman" w:hAnsi="Times New Roman" w:cs="Times New Roman"/>
          <w:bCs/>
          <w:sz w:val="28"/>
          <w:szCs w:val="28"/>
          <w:lang w:val="kk-KZ" w:eastAsia="ru-RU"/>
        </w:rPr>
        <w:t xml:space="preserve"> сақтандыру жүйесі тұрақты негізде жетілдірілуде. Тек 2020 жылдың қаңтарынан бастап ерікті сақтандырудың жаңа жүйесі енгізілді, ол мыналарды көздейді: </w:t>
      </w:r>
    </w:p>
    <w:p w:rsidR="003A5B83" w:rsidRPr="00E90744" w:rsidP="003A5B83">
      <w:pPr>
        <w:spacing w:after="0" w:line="240" w:lineRule="auto"/>
        <w:ind w:firstLine="708"/>
        <w:jc w:val="both"/>
        <w:rPr>
          <w:rFonts w:ascii="Times New Roman" w:eastAsia="Times New Roman" w:hAnsi="Times New Roman" w:cs="Times New Roman"/>
          <w:bCs/>
          <w:sz w:val="28"/>
          <w:szCs w:val="28"/>
          <w:lang w:val="kk-KZ" w:eastAsia="ru-RU"/>
        </w:rPr>
      </w:pPr>
      <w:r w:rsidRPr="00E90744">
        <w:rPr>
          <w:rFonts w:ascii="Times New Roman" w:eastAsia="Times New Roman" w:hAnsi="Times New Roman" w:cs="Times New Roman"/>
          <w:bCs/>
          <w:sz w:val="28"/>
          <w:szCs w:val="28"/>
          <w:lang w:val="kk-KZ" w:eastAsia="ru-RU"/>
        </w:rPr>
        <w:t xml:space="preserve">- сақтандырудың ерікті сипаты; </w:t>
      </w:r>
    </w:p>
    <w:p w:rsidR="003A5B83" w:rsidRPr="00E90744" w:rsidP="003A5B83">
      <w:pPr>
        <w:spacing w:after="0" w:line="240" w:lineRule="auto"/>
        <w:ind w:firstLine="708"/>
        <w:jc w:val="both"/>
        <w:rPr>
          <w:rFonts w:ascii="Times New Roman" w:eastAsia="Times New Roman" w:hAnsi="Times New Roman" w:cs="Times New Roman"/>
          <w:bCs/>
          <w:sz w:val="28"/>
          <w:szCs w:val="28"/>
          <w:lang w:val="kk-KZ" w:eastAsia="ru-RU"/>
        </w:rPr>
      </w:pPr>
      <w:r w:rsidRPr="00E90744">
        <w:rPr>
          <w:rFonts w:ascii="Times New Roman" w:eastAsia="Times New Roman" w:hAnsi="Times New Roman" w:cs="Times New Roman"/>
          <w:bCs/>
          <w:sz w:val="28"/>
          <w:szCs w:val="28"/>
          <w:lang w:val="kk-KZ" w:eastAsia="ru-RU"/>
        </w:rPr>
        <w:t xml:space="preserve">- сақтандыруды мемлекеттік қолдау нысанын өзгерту, егер бұрын сақтандыру төлемдері </w:t>
      </w:r>
      <w:r w:rsidRPr="00E90744">
        <w:rPr>
          <w:rFonts w:ascii="Times New Roman" w:eastAsia="Times New Roman" w:hAnsi="Times New Roman" w:cs="Times New Roman"/>
          <w:bCs/>
          <w:sz w:val="28"/>
          <w:szCs w:val="28"/>
          <w:lang w:val="kk-KZ" w:eastAsia="ru-RU"/>
        </w:rPr>
        <w:t>субсидияланған</w:t>
      </w:r>
      <w:r w:rsidRPr="00E90744">
        <w:rPr>
          <w:rFonts w:ascii="Times New Roman" w:eastAsia="Times New Roman" w:hAnsi="Times New Roman" w:cs="Times New Roman"/>
          <w:bCs/>
          <w:sz w:val="28"/>
          <w:szCs w:val="28"/>
          <w:lang w:val="kk-KZ" w:eastAsia="ru-RU"/>
        </w:rPr>
        <w:t xml:space="preserve"> болса, жаңа жүйе шеңберінде сақтандыру сыйлықақылары </w:t>
      </w:r>
      <w:r w:rsidRPr="00E90744">
        <w:rPr>
          <w:rFonts w:ascii="Times New Roman" w:eastAsia="Times New Roman" w:hAnsi="Times New Roman" w:cs="Times New Roman"/>
          <w:bCs/>
          <w:sz w:val="28"/>
          <w:szCs w:val="28"/>
          <w:lang w:val="kk-KZ" w:eastAsia="ru-RU"/>
        </w:rPr>
        <w:t>субсидиялануы</w:t>
      </w:r>
      <w:r w:rsidRPr="00E90744">
        <w:rPr>
          <w:rFonts w:ascii="Times New Roman" w:eastAsia="Times New Roman" w:hAnsi="Times New Roman" w:cs="Times New Roman"/>
          <w:bCs/>
          <w:sz w:val="28"/>
          <w:szCs w:val="28"/>
          <w:lang w:val="kk-KZ" w:eastAsia="ru-RU"/>
        </w:rPr>
        <w:t xml:space="preserve"> тиіс; </w:t>
      </w:r>
    </w:p>
    <w:p w:rsidR="003A5B83" w:rsidRPr="00E90744" w:rsidP="003A5B83">
      <w:pPr>
        <w:spacing w:after="0" w:line="240" w:lineRule="auto"/>
        <w:ind w:firstLine="708"/>
        <w:jc w:val="both"/>
        <w:rPr>
          <w:rFonts w:ascii="Times New Roman" w:eastAsia="Times New Roman" w:hAnsi="Times New Roman" w:cs="Times New Roman"/>
          <w:bCs/>
          <w:sz w:val="28"/>
          <w:szCs w:val="28"/>
          <w:lang w:val="kk-KZ" w:eastAsia="ru-RU"/>
        </w:rPr>
      </w:pPr>
      <w:r w:rsidRPr="00E90744">
        <w:rPr>
          <w:rFonts w:ascii="Times New Roman" w:eastAsia="Times New Roman" w:hAnsi="Times New Roman" w:cs="Times New Roman"/>
          <w:bCs/>
          <w:sz w:val="28"/>
          <w:szCs w:val="28"/>
          <w:lang w:val="kk-KZ" w:eastAsia="ru-RU"/>
        </w:rPr>
        <w:t xml:space="preserve">- шарт жасасудан бастап төлемдерге дейінгі барлық рәсімдер электрондық платформада жүргізіледі. Барлық процестер автоматтандырылған, бұл адам факторының әсерін жояды және олардың ашықтығын қамтамасыз етеді. Сақтандыру жүйесі жаңа және оны білім тарату бағдарламасы аясында кеңінен түсіндіру жұмыстарын жүргізу арқылы енгізу үшін уақыт қажет.  </w:t>
      </w:r>
    </w:p>
    <w:p w:rsidR="003A5B83" w:rsidRPr="00E90744" w:rsidP="003A5B83">
      <w:pPr>
        <w:spacing w:after="0" w:line="240" w:lineRule="auto"/>
        <w:ind w:firstLine="708"/>
        <w:jc w:val="both"/>
        <w:rPr>
          <w:rFonts w:ascii="Times New Roman" w:eastAsia="Times New Roman" w:hAnsi="Times New Roman" w:cs="Times New Roman"/>
          <w:bCs/>
          <w:sz w:val="28"/>
          <w:szCs w:val="28"/>
          <w:lang w:val="kk-KZ" w:eastAsia="ru-RU"/>
        </w:rPr>
      </w:pPr>
      <w:r w:rsidRPr="00E90744">
        <w:rPr>
          <w:rFonts w:ascii="Times New Roman" w:eastAsia="Times New Roman" w:hAnsi="Times New Roman" w:cs="Times New Roman"/>
          <w:bCs/>
          <w:sz w:val="28"/>
          <w:szCs w:val="28"/>
          <w:lang w:val="kk-KZ" w:eastAsia="ru-RU"/>
        </w:rPr>
        <w:t>Бүгінгі таңда Ақмола, Ақтөбе, Шығыс Қазақстан, Батыс Қазақстан, Солтүстік Қазақстан, Қарағанды, Қостанай, Павлодар облыстарының аумағындағы дәнді дақылдар (бидай, сұлы, арпа) және майлы дақылдар (күнбағыс, зығыр, рапс, жүгері) сақтандырылуы тиіс.</w:t>
      </w:r>
    </w:p>
    <w:p w:rsidR="003A5B83" w:rsidRPr="00E90744" w:rsidP="003A5B83">
      <w:pPr>
        <w:spacing w:after="0" w:line="240" w:lineRule="auto"/>
        <w:ind w:firstLine="708"/>
        <w:jc w:val="both"/>
        <w:rPr>
          <w:rFonts w:ascii="Times New Roman" w:eastAsia="Times New Roman" w:hAnsi="Times New Roman" w:cs="Times New Roman"/>
          <w:bCs/>
          <w:sz w:val="28"/>
          <w:szCs w:val="28"/>
          <w:lang w:val="kk-KZ" w:eastAsia="ru-RU"/>
        </w:rPr>
      </w:pPr>
      <w:r w:rsidRPr="00E90744">
        <w:rPr>
          <w:rFonts w:ascii="Times New Roman" w:eastAsia="Times New Roman" w:hAnsi="Times New Roman" w:cs="Times New Roman"/>
          <w:bCs/>
          <w:sz w:val="28"/>
          <w:szCs w:val="28"/>
          <w:lang w:val="kk-KZ" w:eastAsia="ru-RU"/>
        </w:rPr>
        <w:t xml:space="preserve">Сонымен қатар, мал шаруашылығында сақтандыруда да сақтандыру өнімі – ІҚМ, ҰМ, жылқы мен құсты сақтандыру бекітілді. Өнім </w:t>
      </w:r>
      <w:r w:rsidRPr="00E90744">
        <w:rPr>
          <w:rFonts w:ascii="Times New Roman" w:eastAsia="Times New Roman" w:hAnsi="Times New Roman" w:cs="Times New Roman"/>
          <w:bCs/>
          <w:sz w:val="28"/>
          <w:szCs w:val="28"/>
          <w:lang w:val="kk-KZ" w:eastAsia="ru-RU"/>
        </w:rPr>
        <w:t>мультитәуекел</w:t>
      </w:r>
      <w:r w:rsidRPr="00E90744">
        <w:rPr>
          <w:rFonts w:ascii="Times New Roman" w:eastAsia="Times New Roman" w:hAnsi="Times New Roman" w:cs="Times New Roman"/>
          <w:bCs/>
          <w:sz w:val="28"/>
          <w:szCs w:val="28"/>
          <w:lang w:val="kk-KZ" w:eastAsia="ru-RU"/>
        </w:rPr>
        <w:t xml:space="preserve"> болып табылады – тәуекелдердің қатарына инфекциялық және аса қауіпті аурулар, өрт, үшінші тұлғалардың қаскүнемдік әрекеттері, қауіпті табиғи немесе стихиялық құбылыстар, сондай-ақ жазатайым оқиғалар-найзағайдың түсуі, жануарлардың </w:t>
      </w:r>
      <w:r w:rsidRPr="00E90744">
        <w:rPr>
          <w:rFonts w:ascii="Times New Roman" w:eastAsia="Times New Roman" w:hAnsi="Times New Roman" w:cs="Times New Roman"/>
          <w:bCs/>
          <w:sz w:val="28"/>
          <w:szCs w:val="28"/>
          <w:lang w:val="kk-KZ" w:eastAsia="ru-RU"/>
        </w:rPr>
        <w:t xml:space="preserve">шабуыл жасауы, өмірмен үйлеспейтін жарақаттық зақымданулар және </w:t>
      </w:r>
      <w:r w:rsidRPr="00E90744">
        <w:rPr>
          <w:rFonts w:ascii="Times New Roman" w:eastAsia="Times New Roman" w:hAnsi="Times New Roman" w:cs="Times New Roman"/>
          <w:bCs/>
          <w:sz w:val="28"/>
          <w:szCs w:val="28"/>
          <w:lang w:val="kk-KZ" w:eastAsia="ru-RU"/>
        </w:rPr>
        <w:t>басқалар</w:t>
      </w:r>
      <w:r w:rsidRPr="00E90744">
        <w:rPr>
          <w:rFonts w:ascii="Times New Roman" w:eastAsia="Times New Roman" w:hAnsi="Times New Roman" w:cs="Times New Roman"/>
          <w:bCs/>
          <w:sz w:val="28"/>
          <w:szCs w:val="28"/>
          <w:lang w:val="kk-KZ" w:eastAsia="ru-RU"/>
        </w:rPr>
        <w:t xml:space="preserve"> кіреді. </w:t>
      </w:r>
    </w:p>
    <w:p w:rsidR="003A5B83" w:rsidRPr="00E90744" w:rsidP="003A5B83">
      <w:pPr>
        <w:spacing w:after="0" w:line="240" w:lineRule="auto"/>
        <w:ind w:firstLine="708"/>
        <w:jc w:val="both"/>
        <w:rPr>
          <w:rFonts w:ascii="Times New Roman" w:eastAsia="Times New Roman" w:hAnsi="Times New Roman" w:cs="Times New Roman"/>
          <w:bCs/>
          <w:sz w:val="28"/>
          <w:szCs w:val="28"/>
          <w:lang w:val="kk-KZ" w:eastAsia="ru-RU"/>
        </w:rPr>
      </w:pPr>
      <w:r w:rsidRPr="00E90744">
        <w:rPr>
          <w:rFonts w:ascii="Times New Roman" w:eastAsia="Times New Roman" w:hAnsi="Times New Roman" w:cs="Times New Roman"/>
          <w:bCs/>
          <w:sz w:val="28"/>
          <w:szCs w:val="28"/>
          <w:lang w:val="kk-KZ" w:eastAsia="ru-RU"/>
        </w:rPr>
        <w:t xml:space="preserve">Сондай-ақ, халықтың </w:t>
      </w:r>
      <w:r w:rsidRPr="00E90744">
        <w:rPr>
          <w:rFonts w:ascii="Times New Roman" w:eastAsia="Times New Roman" w:hAnsi="Times New Roman" w:cs="Times New Roman"/>
          <w:bCs/>
          <w:sz w:val="28"/>
          <w:szCs w:val="28"/>
          <w:lang w:val="kk-KZ" w:eastAsia="ru-RU"/>
        </w:rPr>
        <w:t>агросақтандыруға</w:t>
      </w:r>
      <w:r w:rsidRPr="00E90744">
        <w:rPr>
          <w:rFonts w:ascii="Times New Roman" w:eastAsia="Times New Roman" w:hAnsi="Times New Roman" w:cs="Times New Roman"/>
          <w:bCs/>
          <w:sz w:val="28"/>
          <w:szCs w:val="28"/>
          <w:lang w:val="kk-KZ" w:eastAsia="ru-RU"/>
        </w:rPr>
        <w:t xml:space="preserve"> қызығушылығын арттыру үшін сақтандыру сыйақысын субсидиялау мөлшерін ұлғайту мәселесі қарастырылуда.</w:t>
      </w:r>
    </w:p>
    <w:p w:rsidR="003A5B83" w:rsidRPr="00E90744" w:rsidP="003A5B83">
      <w:pPr>
        <w:spacing w:after="0" w:line="240" w:lineRule="auto"/>
        <w:ind w:firstLine="708"/>
        <w:jc w:val="both"/>
        <w:rPr>
          <w:rFonts w:ascii="Times New Roman" w:eastAsia="Times New Roman" w:hAnsi="Times New Roman" w:cs="Times New Roman"/>
          <w:bCs/>
          <w:sz w:val="28"/>
          <w:szCs w:val="28"/>
          <w:lang w:val="kk-KZ" w:eastAsia="ru-RU"/>
        </w:rPr>
      </w:pPr>
      <w:r w:rsidRPr="00E90744">
        <w:rPr>
          <w:rFonts w:ascii="Times New Roman" w:eastAsia="Times New Roman" w:hAnsi="Times New Roman" w:cs="Times New Roman"/>
          <w:bCs/>
          <w:sz w:val="28"/>
          <w:szCs w:val="28"/>
          <w:lang w:val="kk-KZ" w:eastAsia="ru-RU"/>
        </w:rPr>
        <w:t xml:space="preserve">Ұлттық жоба шеңберінде сонымен қатар агроөнеркәсіптік кешендегі сақтандыруды қолдау және </w:t>
      </w:r>
      <w:r w:rsidRPr="00E90744">
        <w:rPr>
          <w:rFonts w:ascii="Times New Roman" w:eastAsia="Times New Roman" w:hAnsi="Times New Roman" w:cs="Times New Roman"/>
          <w:bCs/>
          <w:sz w:val="28"/>
          <w:szCs w:val="28"/>
          <w:lang w:val="kk-KZ" w:eastAsia="ru-RU"/>
        </w:rPr>
        <w:t>агросақтандыру</w:t>
      </w:r>
      <w:r w:rsidRPr="00E90744">
        <w:rPr>
          <w:rFonts w:ascii="Times New Roman" w:eastAsia="Times New Roman" w:hAnsi="Times New Roman" w:cs="Times New Roman"/>
          <w:bCs/>
          <w:sz w:val="28"/>
          <w:szCs w:val="28"/>
          <w:lang w:val="kk-KZ" w:eastAsia="ru-RU"/>
        </w:rPr>
        <w:t xml:space="preserve"> нарығын дамыту, оның ішінде субсидиялаумен қамтылған сақтандыру өнімдерінің тізбесін кеңейту арқылы дамыту бойынша іс-шаралар көзделген.</w:t>
      </w:r>
    </w:p>
    <w:p w:rsidR="003A5B83" w:rsidRPr="00E90744" w:rsidP="003A5B83">
      <w:pPr>
        <w:spacing w:after="0" w:line="240" w:lineRule="auto"/>
        <w:ind w:firstLine="708"/>
        <w:jc w:val="both"/>
        <w:rPr>
          <w:rFonts w:ascii="Times New Roman" w:eastAsia="Times New Roman" w:hAnsi="Times New Roman" w:cs="Times New Roman"/>
          <w:bCs/>
          <w:sz w:val="28"/>
          <w:szCs w:val="28"/>
          <w:lang w:val="kk-KZ" w:eastAsia="ru-RU"/>
        </w:rPr>
      </w:pPr>
      <w:r w:rsidRPr="00E90744">
        <w:rPr>
          <w:rFonts w:ascii="Times New Roman" w:eastAsia="Times New Roman" w:hAnsi="Times New Roman" w:cs="Times New Roman"/>
          <w:bCs/>
          <w:sz w:val="28"/>
          <w:szCs w:val="28"/>
          <w:lang w:val="kk-KZ" w:eastAsia="ru-RU"/>
        </w:rPr>
        <w:t>Суармалы жерлерді айналымға енгізу мақсатында Үкімет облыстардың әкімдіктерімен бірлесіп, республиканың оңтүстігіндегі ескі суару жүйелерін реконструкциялау жөніндегі жобаларды іске асыруда, олар суды дұрыс реттеу мен бөлу есебінен су тұтынуды және өнімсіз ысырапты азайтуға мүмкіндік береді. Бұдан басқа, қазіргі уақытта суару суының тапшылығы сезіліп отырған оңтүстікте ғана емес, республиканың барлық өңірлерінде жаңа суару жүйелерін және бірқатар жаңа су қоймаларын салу жоспарланып отыр.</w:t>
      </w:r>
    </w:p>
    <w:p w:rsidR="003A5B83" w:rsidRPr="00E90744" w:rsidP="003A5B83">
      <w:pPr>
        <w:spacing w:after="0" w:line="240" w:lineRule="auto"/>
        <w:ind w:firstLine="708"/>
        <w:jc w:val="both"/>
        <w:rPr>
          <w:rFonts w:ascii="Times New Roman" w:eastAsia="Times New Roman" w:hAnsi="Times New Roman" w:cs="Times New Roman"/>
          <w:bCs/>
          <w:sz w:val="28"/>
          <w:szCs w:val="28"/>
          <w:lang w:val="kk-KZ" w:eastAsia="ru-RU"/>
        </w:rPr>
      </w:pPr>
      <w:r w:rsidRPr="00E90744">
        <w:rPr>
          <w:rFonts w:ascii="Times New Roman" w:eastAsia="Times New Roman" w:hAnsi="Times New Roman" w:cs="Times New Roman"/>
          <w:bCs/>
          <w:sz w:val="28"/>
          <w:szCs w:val="28"/>
          <w:lang w:val="kk-KZ" w:eastAsia="ru-RU"/>
        </w:rPr>
        <w:t>Сонымен қатар, ауыл шаруашылығы дақылдарын суарудың заманауи су үнемдеу технологиялары қолданылатын алаңдарды ұлғайту бойынша жұмыс жүргізілуде, бұл да суармалы суды үнемдеуге мүмкіндік береді.</w:t>
      </w:r>
    </w:p>
    <w:p w:rsidR="003A5B83" w:rsidRPr="00E90744" w:rsidP="003A5B83">
      <w:pPr>
        <w:spacing w:after="0" w:line="240" w:lineRule="auto"/>
        <w:ind w:firstLine="708"/>
        <w:jc w:val="both"/>
        <w:rPr>
          <w:rFonts w:ascii="Times New Roman" w:eastAsia="Times New Roman" w:hAnsi="Times New Roman" w:cs="Times New Roman"/>
          <w:bCs/>
          <w:sz w:val="28"/>
          <w:szCs w:val="28"/>
          <w:lang w:val="kk-KZ" w:eastAsia="ru-RU"/>
        </w:rPr>
      </w:pPr>
      <w:r w:rsidRPr="00E90744">
        <w:rPr>
          <w:rFonts w:ascii="Times New Roman" w:eastAsia="Times New Roman" w:hAnsi="Times New Roman" w:cs="Times New Roman"/>
          <w:bCs/>
          <w:sz w:val="28"/>
          <w:szCs w:val="28"/>
          <w:lang w:val="kk-KZ" w:eastAsia="ru-RU"/>
        </w:rPr>
        <w:t>Мәселен, Қазақстан Республикасының Үкіметі мен американдық «</w:t>
      </w:r>
      <w:r w:rsidRPr="00E90744" w:rsidR="00BE15B6">
        <w:rPr>
          <w:rFonts w:ascii="Times New Roman" w:hAnsi="Times New Roman" w:cs="Times New Roman"/>
          <w:sz w:val="28"/>
          <w:lang w:val="kk-KZ"/>
        </w:rPr>
        <w:t>Valmont</w:t>
      </w:r>
      <w:r w:rsidRPr="00E90744" w:rsidR="00BE15B6">
        <w:rPr>
          <w:rFonts w:ascii="Times New Roman" w:hAnsi="Times New Roman" w:cs="Times New Roman"/>
          <w:sz w:val="28"/>
          <w:lang w:val="kk-KZ"/>
        </w:rPr>
        <w:t xml:space="preserve"> </w:t>
      </w:r>
      <w:r w:rsidRPr="00E90744" w:rsidR="00BE15B6">
        <w:rPr>
          <w:rFonts w:ascii="Times New Roman" w:hAnsi="Times New Roman" w:cs="Times New Roman"/>
          <w:sz w:val="28"/>
          <w:lang w:val="kk-KZ"/>
        </w:rPr>
        <w:t>Industries</w:t>
      </w:r>
      <w:r w:rsidRPr="00E90744" w:rsidR="00BE15B6">
        <w:rPr>
          <w:rFonts w:ascii="Times New Roman" w:hAnsi="Times New Roman" w:cs="Times New Roman"/>
          <w:sz w:val="28"/>
          <w:lang w:val="kk-KZ"/>
        </w:rPr>
        <w:t xml:space="preserve">, </w:t>
      </w:r>
      <w:r w:rsidRPr="00E90744" w:rsidR="00BE15B6">
        <w:rPr>
          <w:rFonts w:ascii="Times New Roman" w:hAnsi="Times New Roman" w:cs="Times New Roman"/>
          <w:sz w:val="28"/>
          <w:lang w:val="kk-KZ"/>
        </w:rPr>
        <w:t>Inc</w:t>
      </w:r>
      <w:r w:rsidRPr="00E90744">
        <w:rPr>
          <w:rFonts w:ascii="Times New Roman" w:eastAsia="Times New Roman" w:hAnsi="Times New Roman" w:cs="Times New Roman"/>
          <w:bCs/>
          <w:sz w:val="28"/>
          <w:szCs w:val="28"/>
          <w:lang w:val="kk-KZ" w:eastAsia="ru-RU"/>
        </w:rPr>
        <w:t xml:space="preserve">» компаниясы арасында инвестициялық келісімге қол қойылды, оның аясында демонстрациялық фермалар желісін құруға және қазіргі заманғы суару жүйелерін өндіретін зауыт салуға және ауыл шаруашылығы дақылдарының түсімділігін басқару жоспарлануда. Жобаны іске асыру су үнемдеу технологияларын қолдану алаңын ұлғайтуға, суармалы суды 30%-ға үнемдеуді қамтамасыз етуге, сол арқылы суармалы жерлердің </w:t>
      </w:r>
      <w:r w:rsidRPr="00E90744">
        <w:rPr>
          <w:rFonts w:ascii="Times New Roman" w:eastAsia="Times New Roman" w:hAnsi="Times New Roman" w:cs="Times New Roman"/>
          <w:bCs/>
          <w:sz w:val="28"/>
          <w:szCs w:val="28"/>
          <w:lang w:val="kk-KZ" w:eastAsia="ru-RU"/>
        </w:rPr>
        <w:t>өнімділігін</w:t>
      </w:r>
      <w:r w:rsidRPr="00E90744">
        <w:rPr>
          <w:rFonts w:ascii="Times New Roman" w:eastAsia="Times New Roman" w:hAnsi="Times New Roman" w:cs="Times New Roman"/>
          <w:bCs/>
          <w:sz w:val="28"/>
          <w:szCs w:val="28"/>
          <w:lang w:val="kk-KZ" w:eastAsia="ru-RU"/>
        </w:rPr>
        <w:t xml:space="preserve"> </w:t>
      </w:r>
      <w:r w:rsidRPr="00E90744" w:rsidR="00BE15B6">
        <w:rPr>
          <w:rFonts w:ascii="Times New Roman" w:eastAsia="Times New Roman" w:hAnsi="Times New Roman" w:cs="Times New Roman"/>
          <w:bCs/>
          <w:sz w:val="28"/>
          <w:szCs w:val="28"/>
          <w:lang w:val="kk-KZ" w:eastAsia="ru-RU"/>
        </w:rPr>
        <w:br/>
      </w:r>
      <w:r w:rsidRPr="00E90744">
        <w:rPr>
          <w:rFonts w:ascii="Times New Roman" w:eastAsia="Times New Roman" w:hAnsi="Times New Roman" w:cs="Times New Roman"/>
          <w:bCs/>
          <w:sz w:val="28"/>
          <w:szCs w:val="28"/>
          <w:lang w:val="kk-KZ" w:eastAsia="ru-RU"/>
        </w:rPr>
        <w:t xml:space="preserve">1,5-3 есеге арттыруға мүмкіндік береді. </w:t>
      </w:r>
    </w:p>
    <w:p w:rsidR="003A5B83" w:rsidRPr="00E90744" w:rsidP="003A5B83">
      <w:pPr>
        <w:spacing w:after="0" w:line="240" w:lineRule="auto"/>
        <w:ind w:firstLine="708"/>
        <w:jc w:val="both"/>
        <w:rPr>
          <w:rFonts w:ascii="Times New Roman" w:eastAsia="Times New Roman" w:hAnsi="Times New Roman" w:cs="Times New Roman"/>
          <w:bCs/>
          <w:sz w:val="28"/>
          <w:szCs w:val="28"/>
          <w:lang w:val="kk-KZ" w:eastAsia="ru-RU"/>
        </w:rPr>
      </w:pPr>
      <w:r w:rsidRPr="00E90744">
        <w:rPr>
          <w:rFonts w:ascii="Times New Roman" w:eastAsia="Times New Roman" w:hAnsi="Times New Roman" w:cs="Times New Roman"/>
          <w:bCs/>
          <w:sz w:val="28"/>
          <w:szCs w:val="28"/>
          <w:lang w:val="kk-KZ" w:eastAsia="ru-RU"/>
        </w:rPr>
        <w:t>Бұл инвестициялық келісімді іске асыру үшін Ұлттық жоба шеңберінде суару қондырғыларын сатып алу</w:t>
      </w:r>
      <w:r w:rsidRPr="00E90744" w:rsidR="00500B9E">
        <w:rPr>
          <w:rFonts w:ascii="Times New Roman" w:eastAsia="Times New Roman" w:hAnsi="Times New Roman" w:cs="Times New Roman"/>
          <w:bCs/>
          <w:sz w:val="28"/>
          <w:szCs w:val="28"/>
          <w:lang w:val="kk-KZ" w:eastAsia="ru-RU"/>
        </w:rPr>
        <w:t>ға</w:t>
      </w:r>
      <w:r w:rsidRPr="00E90744">
        <w:rPr>
          <w:rFonts w:ascii="Times New Roman" w:eastAsia="Times New Roman" w:hAnsi="Times New Roman" w:cs="Times New Roman"/>
          <w:bCs/>
          <w:sz w:val="28"/>
          <w:szCs w:val="28"/>
          <w:lang w:val="kk-KZ" w:eastAsia="ru-RU"/>
        </w:rPr>
        <w:t xml:space="preserve"> және </w:t>
      </w:r>
      <w:r w:rsidRPr="00E90744" w:rsidR="00BE15B6">
        <w:rPr>
          <w:rFonts w:ascii="Times New Roman" w:eastAsia="Times New Roman" w:hAnsi="Times New Roman" w:cs="Times New Roman"/>
          <w:bCs/>
          <w:sz w:val="28"/>
          <w:szCs w:val="28"/>
          <w:lang w:val="kk-KZ" w:eastAsia="ru-RU"/>
        </w:rPr>
        <w:t xml:space="preserve">инфрақұрылым жүргізу үшін </w:t>
      </w:r>
      <w:r w:rsidRPr="00E90744">
        <w:rPr>
          <w:rFonts w:ascii="Times New Roman" w:eastAsia="Times New Roman" w:hAnsi="Times New Roman" w:cs="Times New Roman"/>
          <w:bCs/>
          <w:sz w:val="28"/>
          <w:szCs w:val="28"/>
          <w:lang w:val="kk-KZ" w:eastAsia="ru-RU"/>
        </w:rPr>
        <w:t xml:space="preserve">құрылыс-монтаждау жұмыстарына </w:t>
      </w:r>
      <w:r w:rsidRPr="00E90744" w:rsidR="00492B2F">
        <w:rPr>
          <w:rFonts w:ascii="Times New Roman" w:eastAsia="Times New Roman" w:hAnsi="Times New Roman" w:cs="Times New Roman"/>
          <w:bCs/>
          <w:sz w:val="28"/>
          <w:szCs w:val="28"/>
          <w:lang w:val="kk-KZ" w:eastAsia="ru-RU"/>
        </w:rPr>
        <w:t xml:space="preserve">бюджеттік </w:t>
      </w:r>
      <w:r w:rsidRPr="00E90744" w:rsidR="00BE15B6">
        <w:rPr>
          <w:rFonts w:ascii="Times New Roman" w:eastAsia="Times New Roman" w:hAnsi="Times New Roman" w:cs="Times New Roman"/>
          <w:bCs/>
          <w:sz w:val="28"/>
          <w:szCs w:val="28"/>
          <w:lang w:val="kk-KZ" w:eastAsia="ru-RU"/>
        </w:rPr>
        <w:t xml:space="preserve">кредит беруге қаржы бөлу </w:t>
      </w:r>
      <w:r w:rsidRPr="00E90744">
        <w:rPr>
          <w:rFonts w:ascii="Times New Roman" w:eastAsia="Times New Roman" w:hAnsi="Times New Roman" w:cs="Times New Roman"/>
          <w:bCs/>
          <w:sz w:val="28"/>
          <w:szCs w:val="28"/>
          <w:lang w:val="kk-KZ" w:eastAsia="ru-RU"/>
        </w:rPr>
        <w:t xml:space="preserve">жоспарлануда. Осы мақсаттарға алдағы 5 жылда республикалық бюджеттен шамамен 77,2 </w:t>
      </w:r>
      <w:r w:rsidRPr="00E90744">
        <w:rPr>
          <w:rFonts w:ascii="Times New Roman" w:eastAsia="Times New Roman" w:hAnsi="Times New Roman" w:cs="Times New Roman"/>
          <w:bCs/>
          <w:sz w:val="28"/>
          <w:szCs w:val="28"/>
          <w:lang w:val="kk-KZ" w:eastAsia="ru-RU"/>
        </w:rPr>
        <w:t>млрд</w:t>
      </w:r>
      <w:bookmarkStart w:id="0" w:name="_GoBack"/>
      <w:bookmarkEnd w:id="0"/>
      <w:r w:rsidRPr="00E90744" w:rsidR="00500B9E">
        <w:rPr>
          <w:rFonts w:ascii="Times New Roman" w:eastAsia="Times New Roman" w:hAnsi="Times New Roman" w:cs="Times New Roman"/>
          <w:bCs/>
          <w:sz w:val="28"/>
          <w:szCs w:val="28"/>
          <w:lang w:val="kk-KZ" w:eastAsia="ru-RU"/>
        </w:rPr>
        <w:t xml:space="preserve"> </w:t>
      </w:r>
      <w:r w:rsidRPr="00E90744">
        <w:rPr>
          <w:rFonts w:ascii="Times New Roman" w:eastAsia="Times New Roman" w:hAnsi="Times New Roman" w:cs="Times New Roman"/>
          <w:bCs/>
          <w:sz w:val="28"/>
          <w:szCs w:val="28"/>
          <w:lang w:val="kk-KZ" w:eastAsia="ru-RU"/>
        </w:rPr>
        <w:t>теңге бөлу жоспарланып отыр.</w:t>
      </w:r>
    </w:p>
    <w:p w:rsidR="003A5B83" w:rsidRPr="00E90744" w:rsidP="003A5B83">
      <w:pPr>
        <w:spacing w:after="0" w:line="240" w:lineRule="auto"/>
        <w:ind w:firstLine="708"/>
        <w:jc w:val="both"/>
        <w:rPr>
          <w:rFonts w:ascii="Times New Roman" w:eastAsia="Times New Roman" w:hAnsi="Times New Roman" w:cs="Times New Roman"/>
          <w:bCs/>
          <w:sz w:val="28"/>
          <w:szCs w:val="28"/>
          <w:lang w:val="kk-KZ" w:eastAsia="ru-RU"/>
        </w:rPr>
      </w:pPr>
      <w:r w:rsidRPr="00E90744">
        <w:rPr>
          <w:rFonts w:ascii="Times New Roman" w:eastAsia="Times New Roman" w:hAnsi="Times New Roman" w:cs="Times New Roman"/>
          <w:bCs/>
          <w:sz w:val="28"/>
          <w:szCs w:val="28"/>
          <w:lang w:val="kk-KZ" w:eastAsia="ru-RU"/>
        </w:rPr>
        <w:t>Су үнемдеу технологияларын енгізу бойынша АШТӨ-</w:t>
      </w:r>
      <w:r w:rsidRPr="00E90744">
        <w:rPr>
          <w:rFonts w:ascii="Times New Roman" w:eastAsia="Times New Roman" w:hAnsi="Times New Roman" w:cs="Times New Roman"/>
          <w:bCs/>
          <w:sz w:val="28"/>
          <w:szCs w:val="28"/>
          <w:lang w:val="kk-KZ" w:eastAsia="ru-RU"/>
        </w:rPr>
        <w:t>ні</w:t>
      </w:r>
      <w:r w:rsidRPr="00E90744">
        <w:rPr>
          <w:rFonts w:ascii="Times New Roman" w:eastAsia="Times New Roman" w:hAnsi="Times New Roman" w:cs="Times New Roman"/>
          <w:bCs/>
          <w:sz w:val="28"/>
          <w:szCs w:val="28"/>
          <w:lang w:val="kk-KZ" w:eastAsia="ru-RU"/>
        </w:rPr>
        <w:t xml:space="preserve"> қолдау бөлігінде Үкімет инвестициялық субсидиялау түрінде мемлекеттік қолдауды жүзеге асырады, онда қазіргі заманғы суару жүйелерін сатып алуға жұмсалған шығындардың 50%-</w:t>
      </w:r>
      <w:r w:rsidRPr="00E90744">
        <w:rPr>
          <w:rFonts w:ascii="Times New Roman" w:eastAsia="Times New Roman" w:hAnsi="Times New Roman" w:cs="Times New Roman"/>
          <w:bCs/>
          <w:sz w:val="28"/>
          <w:szCs w:val="28"/>
          <w:lang w:val="kk-KZ" w:eastAsia="ru-RU"/>
        </w:rPr>
        <w:t>ын</w:t>
      </w:r>
      <w:r w:rsidRPr="00E90744">
        <w:rPr>
          <w:rFonts w:ascii="Times New Roman" w:eastAsia="Times New Roman" w:hAnsi="Times New Roman" w:cs="Times New Roman"/>
          <w:bCs/>
          <w:sz w:val="28"/>
          <w:szCs w:val="28"/>
          <w:lang w:val="kk-KZ" w:eastAsia="ru-RU"/>
        </w:rPr>
        <w:t xml:space="preserve"> өтеу, сондай-ақ барлық қажетті инфрақұрылымды жүргізу көзделеді.</w:t>
      </w:r>
    </w:p>
    <w:p w:rsidR="003A5B83" w:rsidRPr="00E90744" w:rsidP="003A5B83">
      <w:pPr>
        <w:spacing w:after="0" w:line="240" w:lineRule="auto"/>
        <w:ind w:firstLine="708"/>
        <w:jc w:val="both"/>
        <w:rPr>
          <w:rFonts w:ascii="Times New Roman" w:eastAsia="Times New Roman" w:hAnsi="Times New Roman" w:cs="Times New Roman"/>
          <w:bCs/>
          <w:sz w:val="28"/>
          <w:szCs w:val="28"/>
          <w:lang w:val="kk-KZ" w:eastAsia="ru-RU"/>
        </w:rPr>
      </w:pPr>
      <w:r w:rsidRPr="00E90744">
        <w:rPr>
          <w:rFonts w:ascii="Times New Roman" w:eastAsia="Times New Roman" w:hAnsi="Times New Roman" w:cs="Times New Roman"/>
          <w:bCs/>
          <w:sz w:val="28"/>
          <w:szCs w:val="28"/>
          <w:lang w:val="kk-KZ" w:eastAsia="ru-RU"/>
        </w:rPr>
        <w:t>Сондай-ақ, суарудың прогрессивтік әдістерін қолдану процесін ынталандыру мақсатында Ауыл шаруашылығы тауарын өндірушілерге су беру жөніндегі көрсетілетін қызметтердің құнын субсидиялау қағидаларына суару тәсілдеріне байланысты, яғни сараланған түрде, жеткізілген судың 1 м3-іне субсидия белгілеу бөлігінде өзгеріс енгізу мәселесі пысықталуда.</w:t>
      </w:r>
    </w:p>
    <w:p w:rsidR="003A5B83" w:rsidRPr="00E90744" w:rsidP="003A5B83">
      <w:pPr>
        <w:spacing w:after="0" w:line="240" w:lineRule="auto"/>
        <w:ind w:firstLine="708"/>
        <w:jc w:val="both"/>
        <w:rPr>
          <w:rFonts w:ascii="Times New Roman" w:eastAsia="Times New Roman" w:hAnsi="Times New Roman" w:cs="Times New Roman"/>
          <w:bCs/>
          <w:sz w:val="28"/>
          <w:szCs w:val="28"/>
          <w:lang w:val="kk-KZ" w:eastAsia="ru-RU"/>
        </w:rPr>
      </w:pPr>
      <w:r w:rsidRPr="00E90744">
        <w:rPr>
          <w:rFonts w:ascii="Times New Roman" w:eastAsia="Times New Roman" w:hAnsi="Times New Roman" w:cs="Times New Roman"/>
          <w:bCs/>
          <w:sz w:val="28"/>
          <w:szCs w:val="28"/>
          <w:lang w:val="kk-KZ" w:eastAsia="ru-RU"/>
        </w:rPr>
        <w:t>Нәтижесінде 2025 жылы су үнемдеу технологияларын қолданатын (тамшылатып суару, жаңбырлату) жерлердің алаңы 2 есеге ұлғайып, 450 мың гектарды құрайтын болады.</w:t>
      </w:r>
    </w:p>
    <w:p w:rsidR="003A5B83" w:rsidRPr="00E90744" w:rsidP="003A5B83">
      <w:pPr>
        <w:spacing w:after="0" w:line="240" w:lineRule="auto"/>
        <w:ind w:firstLine="708"/>
        <w:jc w:val="both"/>
        <w:rPr>
          <w:rFonts w:ascii="Times New Roman" w:eastAsia="Times New Roman" w:hAnsi="Times New Roman" w:cs="Times New Roman"/>
          <w:bCs/>
          <w:sz w:val="28"/>
          <w:szCs w:val="28"/>
          <w:lang w:val="kk-KZ" w:eastAsia="ru-RU"/>
        </w:rPr>
      </w:pPr>
      <w:r w:rsidRPr="00E90744">
        <w:rPr>
          <w:rFonts w:ascii="Times New Roman" w:eastAsia="Times New Roman" w:hAnsi="Times New Roman" w:cs="Times New Roman"/>
          <w:bCs/>
          <w:sz w:val="28"/>
          <w:szCs w:val="28"/>
          <w:lang w:val="kk-KZ" w:eastAsia="ru-RU"/>
        </w:rPr>
        <w:t>Мал шаруашылығының тұрақты дамуын қамтамасыз ету үшін берік азықтық база құрылатын болады, ол үшін Үкімет 2022-2025 жылдарға арналған азық өндірісі саласын дамыту жөніндегі жол картасының жобасында көрініс тапқан жүйелі шараларды пысықтады, жол картасының жобасы жергілікті атқарушы органдарда келісіліп, қазіргі уақытта орталық мемлекеттік органдармен келісуде тұр.</w:t>
      </w:r>
    </w:p>
    <w:p w:rsidR="003A5B83" w:rsidRPr="00E90744" w:rsidP="003A5B83">
      <w:pPr>
        <w:spacing w:after="0" w:line="240" w:lineRule="auto"/>
        <w:ind w:firstLine="708"/>
        <w:jc w:val="both"/>
        <w:rPr>
          <w:rFonts w:ascii="Times New Roman" w:eastAsia="Times New Roman" w:hAnsi="Times New Roman" w:cs="Times New Roman"/>
          <w:bCs/>
          <w:sz w:val="28"/>
          <w:szCs w:val="28"/>
          <w:lang w:val="kk-KZ" w:eastAsia="ru-RU"/>
        </w:rPr>
      </w:pPr>
      <w:r w:rsidRPr="00E90744">
        <w:rPr>
          <w:rFonts w:ascii="Times New Roman" w:eastAsia="Times New Roman" w:hAnsi="Times New Roman" w:cs="Times New Roman"/>
          <w:bCs/>
          <w:sz w:val="28"/>
          <w:szCs w:val="28"/>
          <w:lang w:val="kk-KZ" w:eastAsia="ru-RU"/>
        </w:rPr>
        <w:t>Жол картасының жобасы азық өндіру мен дайындау бойынша нысаналы индикаторлар тізбесін және мынадай іс-шараларды қамтиды:</w:t>
      </w:r>
    </w:p>
    <w:p w:rsidR="003A5B83" w:rsidRPr="00E90744" w:rsidP="003A5B83">
      <w:pPr>
        <w:spacing w:after="0" w:line="240" w:lineRule="auto"/>
        <w:ind w:firstLine="708"/>
        <w:jc w:val="both"/>
        <w:rPr>
          <w:rFonts w:ascii="Times New Roman" w:eastAsia="Times New Roman" w:hAnsi="Times New Roman" w:cs="Times New Roman"/>
          <w:bCs/>
          <w:sz w:val="28"/>
          <w:szCs w:val="28"/>
          <w:lang w:val="kk-KZ" w:eastAsia="ru-RU"/>
        </w:rPr>
      </w:pPr>
      <w:r w:rsidRPr="00E90744">
        <w:rPr>
          <w:rFonts w:ascii="Times New Roman" w:eastAsia="Times New Roman" w:hAnsi="Times New Roman" w:cs="Times New Roman"/>
          <w:bCs/>
          <w:sz w:val="28"/>
          <w:szCs w:val="28"/>
          <w:lang w:val="kk-KZ" w:eastAsia="ru-RU"/>
        </w:rPr>
        <w:t>-қолданыстағы ауыспалы егістердің ғылыми негізделген нормаларға сәйкестігі тұрғысынан мал шаруашылығы бағытындағы шаруашылықтардың егіс алаңдарының құрылымын талдау;</w:t>
      </w:r>
    </w:p>
    <w:p w:rsidR="003A5B83" w:rsidRPr="00E90744" w:rsidP="003A5B83">
      <w:pPr>
        <w:spacing w:after="0" w:line="240" w:lineRule="auto"/>
        <w:ind w:firstLine="708"/>
        <w:jc w:val="both"/>
        <w:rPr>
          <w:rFonts w:ascii="Times New Roman" w:eastAsia="Times New Roman" w:hAnsi="Times New Roman" w:cs="Times New Roman"/>
          <w:bCs/>
          <w:sz w:val="28"/>
          <w:szCs w:val="28"/>
          <w:lang w:val="kk-KZ" w:eastAsia="ru-RU"/>
        </w:rPr>
      </w:pPr>
      <w:r w:rsidRPr="00E90744">
        <w:rPr>
          <w:rFonts w:ascii="Times New Roman" w:eastAsia="Times New Roman" w:hAnsi="Times New Roman" w:cs="Times New Roman"/>
          <w:bCs/>
          <w:sz w:val="28"/>
          <w:szCs w:val="28"/>
          <w:lang w:val="kk-KZ" w:eastAsia="ru-RU"/>
        </w:rPr>
        <w:t>- әрбір шаруашылықтың ауыл шаруашылығы дақылдарының егіс алаңдарын әртараптандыру жоспарын жасауы;</w:t>
      </w:r>
    </w:p>
    <w:p w:rsidR="003A5B83" w:rsidRPr="00E90744" w:rsidP="003A5B83">
      <w:pPr>
        <w:spacing w:after="0" w:line="240" w:lineRule="auto"/>
        <w:ind w:firstLine="708"/>
        <w:jc w:val="both"/>
        <w:rPr>
          <w:rFonts w:ascii="Times New Roman" w:eastAsia="Times New Roman" w:hAnsi="Times New Roman" w:cs="Times New Roman"/>
          <w:bCs/>
          <w:sz w:val="28"/>
          <w:szCs w:val="28"/>
          <w:lang w:val="kk-KZ" w:eastAsia="ru-RU"/>
        </w:rPr>
      </w:pPr>
      <w:r w:rsidRPr="00E90744">
        <w:rPr>
          <w:rFonts w:ascii="Times New Roman" w:eastAsia="Times New Roman" w:hAnsi="Times New Roman" w:cs="Times New Roman"/>
          <w:bCs/>
          <w:sz w:val="28"/>
          <w:szCs w:val="28"/>
          <w:lang w:val="kk-KZ" w:eastAsia="ru-RU"/>
        </w:rPr>
        <w:t>- АШТӨ-нің жерді жалға алу шарттарын пысықтасын және оларды жер заңнамасының талаптарына сәйкес келтіру;</w:t>
      </w:r>
    </w:p>
    <w:p w:rsidR="003A5B83" w:rsidRPr="00E90744" w:rsidP="003A5B83">
      <w:pPr>
        <w:spacing w:after="0" w:line="240" w:lineRule="auto"/>
        <w:ind w:firstLine="708"/>
        <w:jc w:val="both"/>
        <w:rPr>
          <w:rFonts w:ascii="Times New Roman" w:eastAsia="Times New Roman" w:hAnsi="Times New Roman" w:cs="Times New Roman"/>
          <w:bCs/>
          <w:sz w:val="28"/>
          <w:szCs w:val="28"/>
          <w:lang w:val="kk-KZ" w:eastAsia="ru-RU"/>
        </w:rPr>
      </w:pPr>
      <w:r w:rsidRPr="00E90744">
        <w:rPr>
          <w:rFonts w:ascii="Times New Roman" w:eastAsia="Times New Roman" w:hAnsi="Times New Roman" w:cs="Times New Roman"/>
          <w:bCs/>
          <w:sz w:val="28"/>
          <w:szCs w:val="28"/>
          <w:lang w:val="kk-KZ" w:eastAsia="ru-RU"/>
        </w:rPr>
        <w:t>- егістіктер мен жайылымдардағы өсімдіктердің түрлік құрамын анықтау әдістемесін әзірлеу;</w:t>
      </w:r>
    </w:p>
    <w:p w:rsidR="003A5B83" w:rsidRPr="00E90744" w:rsidP="003A5B83">
      <w:pPr>
        <w:spacing w:after="0" w:line="240" w:lineRule="auto"/>
        <w:ind w:firstLine="708"/>
        <w:jc w:val="both"/>
        <w:rPr>
          <w:rFonts w:ascii="Times New Roman" w:eastAsia="Times New Roman" w:hAnsi="Times New Roman" w:cs="Times New Roman"/>
          <w:bCs/>
          <w:sz w:val="28"/>
          <w:szCs w:val="28"/>
          <w:lang w:val="kk-KZ" w:eastAsia="ru-RU"/>
        </w:rPr>
      </w:pPr>
      <w:r w:rsidRPr="00E90744">
        <w:rPr>
          <w:rFonts w:ascii="Times New Roman" w:eastAsia="Times New Roman" w:hAnsi="Times New Roman" w:cs="Times New Roman"/>
          <w:bCs/>
          <w:sz w:val="28"/>
          <w:szCs w:val="28"/>
          <w:lang w:val="kk-KZ" w:eastAsia="ru-RU"/>
        </w:rPr>
        <w:t>- мемлекеттік қолдау шараларын қолдана отырып, жайылымдарды суландырудың тиімді моделін әзірлеу бойынша ұсыныстар әзірлеу және енгізу;</w:t>
      </w:r>
    </w:p>
    <w:p w:rsidR="003A5B83" w:rsidRPr="00E90744" w:rsidP="003A5B83">
      <w:pPr>
        <w:spacing w:after="0" w:line="240" w:lineRule="auto"/>
        <w:ind w:firstLine="708"/>
        <w:jc w:val="both"/>
        <w:rPr>
          <w:rFonts w:ascii="Times New Roman" w:eastAsia="Times New Roman" w:hAnsi="Times New Roman" w:cs="Times New Roman"/>
          <w:bCs/>
          <w:sz w:val="28"/>
          <w:szCs w:val="28"/>
          <w:lang w:val="kk-KZ" w:eastAsia="ru-RU"/>
        </w:rPr>
      </w:pPr>
      <w:r w:rsidRPr="00E90744">
        <w:rPr>
          <w:rFonts w:ascii="Times New Roman" w:eastAsia="Times New Roman" w:hAnsi="Times New Roman" w:cs="Times New Roman"/>
          <w:bCs/>
          <w:sz w:val="28"/>
          <w:szCs w:val="28"/>
          <w:lang w:val="kk-KZ" w:eastAsia="ru-RU"/>
        </w:rPr>
        <w:t xml:space="preserve">- ірі өндірушілердің астықты, өңдеу кәсіпорындарының майлы дақылдарды, қант қызылшасын міндетті сатуы бойынша және </w:t>
      </w:r>
      <w:r w:rsidRPr="00E90744">
        <w:rPr>
          <w:rFonts w:ascii="Times New Roman" w:eastAsia="Times New Roman" w:hAnsi="Times New Roman" w:cs="Times New Roman"/>
          <w:bCs/>
          <w:sz w:val="28"/>
          <w:szCs w:val="28"/>
          <w:lang w:val="kk-KZ" w:eastAsia="ru-RU"/>
        </w:rPr>
        <w:t>құрамажем</w:t>
      </w:r>
      <w:r w:rsidRPr="00E90744">
        <w:rPr>
          <w:rFonts w:ascii="Times New Roman" w:eastAsia="Times New Roman" w:hAnsi="Times New Roman" w:cs="Times New Roman"/>
          <w:bCs/>
          <w:sz w:val="28"/>
          <w:szCs w:val="28"/>
          <w:lang w:val="kk-KZ" w:eastAsia="ru-RU"/>
        </w:rPr>
        <w:t xml:space="preserve"> өнеркәсібі кәсіпорындарының жемдік астықтың бір бөлігін, кебекті, </w:t>
      </w:r>
      <w:r w:rsidRPr="00E90744">
        <w:rPr>
          <w:rFonts w:ascii="Times New Roman" w:eastAsia="Times New Roman" w:hAnsi="Times New Roman" w:cs="Times New Roman"/>
          <w:bCs/>
          <w:sz w:val="28"/>
          <w:szCs w:val="28"/>
          <w:lang w:val="kk-KZ" w:eastAsia="ru-RU"/>
        </w:rPr>
        <w:t>жомды</w:t>
      </w:r>
      <w:r w:rsidRPr="00E90744">
        <w:rPr>
          <w:rFonts w:ascii="Times New Roman" w:eastAsia="Times New Roman" w:hAnsi="Times New Roman" w:cs="Times New Roman"/>
          <w:bCs/>
          <w:sz w:val="28"/>
          <w:szCs w:val="28"/>
          <w:lang w:val="kk-KZ" w:eastAsia="ru-RU"/>
        </w:rPr>
        <w:t xml:space="preserve">, күнжараны, сірне және сығындыны белгіленген бағалармен өндірістік құс өсіру кәсіпорындарына, </w:t>
      </w:r>
      <w:r w:rsidRPr="00E90744">
        <w:rPr>
          <w:rFonts w:ascii="Times New Roman" w:eastAsia="Times New Roman" w:hAnsi="Times New Roman" w:cs="Times New Roman"/>
          <w:bCs/>
          <w:sz w:val="28"/>
          <w:szCs w:val="28"/>
          <w:lang w:val="kk-KZ" w:eastAsia="ru-RU"/>
        </w:rPr>
        <w:t>құрамажем</w:t>
      </w:r>
      <w:r w:rsidRPr="00E90744">
        <w:rPr>
          <w:rFonts w:ascii="Times New Roman" w:eastAsia="Times New Roman" w:hAnsi="Times New Roman" w:cs="Times New Roman"/>
          <w:bCs/>
          <w:sz w:val="28"/>
          <w:szCs w:val="28"/>
          <w:lang w:val="kk-KZ" w:eastAsia="ru-RU"/>
        </w:rPr>
        <w:t xml:space="preserve"> зауыттарын, ірі мал шаруашылығы шаруашылықтарына АӨК-</w:t>
      </w:r>
      <w:r w:rsidRPr="00E90744">
        <w:rPr>
          <w:rFonts w:ascii="Times New Roman" w:eastAsia="Times New Roman" w:hAnsi="Times New Roman" w:cs="Times New Roman"/>
          <w:bCs/>
          <w:sz w:val="28"/>
          <w:szCs w:val="28"/>
          <w:lang w:val="kk-KZ" w:eastAsia="ru-RU"/>
        </w:rPr>
        <w:t>ні</w:t>
      </w:r>
      <w:r w:rsidRPr="00E90744">
        <w:rPr>
          <w:rFonts w:ascii="Times New Roman" w:eastAsia="Times New Roman" w:hAnsi="Times New Roman" w:cs="Times New Roman"/>
          <w:bCs/>
          <w:sz w:val="28"/>
          <w:szCs w:val="28"/>
          <w:lang w:val="kk-KZ" w:eastAsia="ru-RU"/>
        </w:rPr>
        <w:t xml:space="preserve"> мемлекеттік қолдау шараларына қарсы міндеттемелерді енгізу.</w:t>
      </w:r>
    </w:p>
    <w:p w:rsidR="003A5B83" w:rsidRPr="00E90744" w:rsidP="003A5B83">
      <w:pPr>
        <w:spacing w:after="0" w:line="240" w:lineRule="auto"/>
        <w:ind w:firstLine="708"/>
        <w:jc w:val="both"/>
        <w:rPr>
          <w:rFonts w:ascii="Times New Roman" w:eastAsia="Times New Roman" w:hAnsi="Times New Roman" w:cs="Times New Roman"/>
          <w:bCs/>
          <w:sz w:val="28"/>
          <w:szCs w:val="28"/>
          <w:lang w:val="kk-KZ" w:eastAsia="ru-RU"/>
        </w:rPr>
      </w:pPr>
      <w:r w:rsidRPr="00E90744">
        <w:rPr>
          <w:rFonts w:ascii="Times New Roman" w:eastAsia="Times New Roman" w:hAnsi="Times New Roman" w:cs="Times New Roman"/>
          <w:bCs/>
          <w:sz w:val="28"/>
          <w:szCs w:val="28"/>
          <w:lang w:val="kk-KZ" w:eastAsia="ru-RU"/>
        </w:rPr>
        <w:t>Сондай-ақ, Ұлттық жобада «</w:t>
      </w:r>
      <w:r w:rsidRPr="00E90744">
        <w:rPr>
          <w:rFonts w:ascii="Times New Roman" w:eastAsia="Times New Roman" w:hAnsi="Times New Roman" w:cs="Times New Roman"/>
          <w:bCs/>
          <w:sz w:val="28"/>
          <w:szCs w:val="28"/>
          <w:lang w:val="kk-KZ" w:eastAsia="ru-RU"/>
        </w:rPr>
        <w:t>ҚазАгроҚаржы</w:t>
      </w:r>
      <w:r w:rsidRPr="00E90744">
        <w:rPr>
          <w:rFonts w:ascii="Times New Roman" w:eastAsia="Times New Roman" w:hAnsi="Times New Roman" w:cs="Times New Roman"/>
          <w:bCs/>
          <w:sz w:val="28"/>
          <w:szCs w:val="28"/>
          <w:lang w:val="kk-KZ" w:eastAsia="ru-RU"/>
        </w:rPr>
        <w:t xml:space="preserve">» АҚ-ның жарғылық капиталын кейіннен лизингке беру үшін техниканы, азық дайындау техникасын және мобильді жүйелерді сатып алуды қаржыландыру үшін 79,4 </w:t>
      </w:r>
      <w:r w:rsidRPr="00E90744">
        <w:rPr>
          <w:rFonts w:ascii="Times New Roman" w:eastAsia="Times New Roman" w:hAnsi="Times New Roman" w:cs="Times New Roman"/>
          <w:bCs/>
          <w:sz w:val="28"/>
          <w:szCs w:val="28"/>
          <w:lang w:val="kk-KZ" w:eastAsia="ru-RU"/>
        </w:rPr>
        <w:t>млрд</w:t>
      </w:r>
      <w:r w:rsidRPr="00E90744">
        <w:rPr>
          <w:rFonts w:ascii="Times New Roman" w:eastAsia="Times New Roman" w:hAnsi="Times New Roman" w:cs="Times New Roman"/>
          <w:bCs/>
          <w:sz w:val="28"/>
          <w:szCs w:val="28"/>
          <w:lang w:val="kk-KZ" w:eastAsia="ru-RU"/>
        </w:rPr>
        <w:t xml:space="preserve"> теңгеге ұлғайту көзделген.</w:t>
      </w:r>
    </w:p>
    <w:p w:rsidR="003A5B83" w:rsidRPr="00E90744" w:rsidP="003A5B83">
      <w:pPr>
        <w:spacing w:after="0" w:line="240" w:lineRule="auto"/>
        <w:ind w:firstLine="708"/>
        <w:jc w:val="both"/>
        <w:rPr>
          <w:rFonts w:ascii="Times New Roman" w:eastAsia="Times New Roman" w:hAnsi="Times New Roman" w:cs="Times New Roman"/>
          <w:bCs/>
          <w:sz w:val="28"/>
          <w:szCs w:val="28"/>
          <w:lang w:val="kk-KZ" w:eastAsia="ru-RU"/>
        </w:rPr>
      </w:pPr>
      <w:r w:rsidRPr="00E90744">
        <w:rPr>
          <w:rFonts w:ascii="Times New Roman" w:eastAsia="Times New Roman" w:hAnsi="Times New Roman" w:cs="Times New Roman"/>
          <w:bCs/>
          <w:sz w:val="28"/>
          <w:szCs w:val="28"/>
          <w:lang w:val="kk-KZ" w:eastAsia="ru-RU"/>
        </w:rPr>
        <w:t>Бұдан басқа, азықтық дақылдардың бірегей тұқымдарын өндіру дамитын болады.</w:t>
      </w:r>
    </w:p>
    <w:p w:rsidR="003A5B83" w:rsidRPr="00E90744" w:rsidP="003A5B83">
      <w:pPr>
        <w:spacing w:after="0" w:line="240" w:lineRule="auto"/>
        <w:ind w:firstLine="708"/>
        <w:jc w:val="both"/>
        <w:rPr>
          <w:rFonts w:ascii="Times New Roman" w:eastAsia="Times New Roman" w:hAnsi="Times New Roman" w:cs="Times New Roman"/>
          <w:bCs/>
          <w:sz w:val="28"/>
          <w:szCs w:val="28"/>
          <w:lang w:val="kk-KZ" w:eastAsia="ru-RU"/>
        </w:rPr>
      </w:pPr>
      <w:r w:rsidRPr="00E90744">
        <w:rPr>
          <w:rFonts w:ascii="Times New Roman" w:eastAsia="Times New Roman" w:hAnsi="Times New Roman" w:cs="Times New Roman"/>
          <w:bCs/>
          <w:sz w:val="28"/>
          <w:szCs w:val="28"/>
          <w:lang w:val="kk-KZ" w:eastAsia="ru-RU"/>
        </w:rPr>
        <w:t>АӨК субъектілерін білімді тарату жүйесімен толық ауқымды қамту облыстық деңгейде білімді тарату және аудандық деңгейде ауылдық ақпараттық-консультациялық орталықтар құру, сондай-ақ фермерлердің біліктілігін қашықтықтан арттырудың қазіргі заманғы нысандарын енгізу есебінен жоспарланады.</w:t>
      </w:r>
    </w:p>
    <w:p w:rsidR="003A5B83" w:rsidRPr="00E90744" w:rsidP="003A5B83">
      <w:pPr>
        <w:spacing w:after="0" w:line="240" w:lineRule="auto"/>
        <w:ind w:firstLine="708"/>
        <w:jc w:val="both"/>
        <w:rPr>
          <w:rFonts w:ascii="Times New Roman" w:eastAsia="Times New Roman" w:hAnsi="Times New Roman" w:cs="Times New Roman"/>
          <w:bCs/>
          <w:sz w:val="28"/>
          <w:szCs w:val="28"/>
          <w:lang w:val="kk-KZ" w:eastAsia="ru-RU"/>
        </w:rPr>
      </w:pPr>
      <w:r w:rsidRPr="00E90744">
        <w:rPr>
          <w:rFonts w:ascii="Times New Roman" w:eastAsia="Times New Roman" w:hAnsi="Times New Roman" w:cs="Times New Roman"/>
          <w:bCs/>
          <w:sz w:val="28"/>
          <w:szCs w:val="28"/>
          <w:lang w:val="kk-KZ" w:eastAsia="ru-RU"/>
        </w:rPr>
        <w:t xml:space="preserve">Еліміздің гидрометеорологиялық қызметін жаңғырту мақсатында 2020-2021 жылдар ішінде </w:t>
      </w:r>
      <w:r w:rsidRPr="00E90744" w:rsidR="00270F80">
        <w:rPr>
          <w:rFonts w:ascii="Times New Roman" w:eastAsia="Times New Roman" w:hAnsi="Times New Roman" w:cs="Times New Roman"/>
          <w:bCs/>
          <w:sz w:val="28"/>
          <w:szCs w:val="28"/>
          <w:lang w:val="kk-KZ" w:eastAsia="ru-RU"/>
        </w:rPr>
        <w:t xml:space="preserve">Экология, геология және табиғи ресурстар министрлігінің </w:t>
      </w:r>
      <w:r w:rsidRPr="00E90744">
        <w:rPr>
          <w:rFonts w:ascii="Times New Roman" w:eastAsia="Times New Roman" w:hAnsi="Times New Roman" w:cs="Times New Roman"/>
          <w:bCs/>
          <w:sz w:val="28"/>
          <w:szCs w:val="28"/>
          <w:lang w:val="kk-KZ" w:eastAsia="ru-RU"/>
        </w:rPr>
        <w:t xml:space="preserve">«Қазгидромет» </w:t>
      </w:r>
      <w:r w:rsidRPr="00E90744" w:rsidR="00270F80">
        <w:rPr>
          <w:rFonts w:ascii="Times New Roman" w:eastAsia="Times New Roman" w:hAnsi="Times New Roman" w:cs="Times New Roman"/>
          <w:bCs/>
          <w:sz w:val="28"/>
          <w:szCs w:val="28"/>
          <w:lang w:val="kk-KZ" w:eastAsia="ru-RU"/>
        </w:rPr>
        <w:t>республикалық мемлекеттік кәсіпорынының</w:t>
      </w:r>
      <w:r w:rsidRPr="00E90744">
        <w:rPr>
          <w:rFonts w:ascii="Times New Roman" w:eastAsia="Times New Roman" w:hAnsi="Times New Roman" w:cs="Times New Roman"/>
          <w:bCs/>
          <w:sz w:val="28"/>
          <w:szCs w:val="28"/>
          <w:lang w:val="kk-KZ" w:eastAsia="ru-RU"/>
        </w:rPr>
        <w:t xml:space="preserve"> қаражаты есебінен автоматтандырылған пункттер саны 50%-ға (58 бірлік) ұлғайды, бақылау желісі 3%-ға (13 бірлік) кеңейді. Сондай-ақ, ауа райын сандық болжау әдістерінің (сервер) мүмкіндіктерін кеңейту үшін техникалық базаны күшейту бойынша </w:t>
      </w:r>
      <w:r w:rsidRPr="00E90744">
        <w:rPr>
          <w:rFonts w:ascii="Times New Roman" w:eastAsia="Times New Roman" w:hAnsi="Times New Roman" w:cs="Times New Roman"/>
          <w:bCs/>
          <w:sz w:val="28"/>
          <w:szCs w:val="28"/>
          <w:lang w:val="kk-KZ" w:eastAsia="ru-RU"/>
        </w:rPr>
        <w:t xml:space="preserve">шаралар қабылдануда, агрометеорологиялық болжаудың жаңа әдістері енгізілуде. </w:t>
      </w:r>
    </w:p>
    <w:p w:rsidR="003A5B83" w:rsidRPr="00E90744" w:rsidP="003A5B83">
      <w:pPr>
        <w:spacing w:after="0" w:line="240" w:lineRule="auto"/>
        <w:ind w:firstLine="708"/>
        <w:jc w:val="both"/>
        <w:rPr>
          <w:rFonts w:ascii="Times New Roman" w:eastAsia="Times New Roman" w:hAnsi="Times New Roman" w:cs="Times New Roman"/>
          <w:bCs/>
          <w:sz w:val="28"/>
          <w:szCs w:val="28"/>
          <w:lang w:val="kk-KZ" w:eastAsia="ru-RU"/>
        </w:rPr>
      </w:pPr>
      <w:r w:rsidRPr="00E90744">
        <w:rPr>
          <w:rFonts w:ascii="Times New Roman" w:eastAsia="Times New Roman" w:hAnsi="Times New Roman" w:cs="Times New Roman"/>
          <w:bCs/>
          <w:sz w:val="28"/>
          <w:szCs w:val="28"/>
          <w:lang w:val="kk-KZ" w:eastAsia="ru-RU"/>
        </w:rPr>
        <w:t xml:space="preserve">Бұдан басқа, халықтың агрометеорологиялық ақпаратқа </w:t>
      </w:r>
      <w:r w:rsidRPr="00E90744">
        <w:rPr>
          <w:rFonts w:ascii="Times New Roman" w:eastAsia="Times New Roman" w:hAnsi="Times New Roman" w:cs="Times New Roman"/>
          <w:bCs/>
          <w:sz w:val="28"/>
          <w:szCs w:val="28"/>
          <w:lang w:val="kk-KZ" w:eastAsia="ru-RU"/>
        </w:rPr>
        <w:t>қолжетімділігін</w:t>
      </w:r>
      <w:r w:rsidRPr="00E90744">
        <w:rPr>
          <w:rFonts w:ascii="Times New Roman" w:eastAsia="Times New Roman" w:hAnsi="Times New Roman" w:cs="Times New Roman"/>
          <w:bCs/>
          <w:sz w:val="28"/>
          <w:szCs w:val="28"/>
          <w:lang w:val="kk-KZ" w:eastAsia="ru-RU"/>
        </w:rPr>
        <w:t xml:space="preserve"> арттыру мақсатында 2020 жылы фермерлерге арналған «</w:t>
      </w:r>
      <w:r w:rsidRPr="00E90744">
        <w:rPr>
          <w:rFonts w:ascii="Times New Roman" w:eastAsia="Times New Roman" w:hAnsi="Times New Roman" w:cs="Times New Roman"/>
          <w:bCs/>
          <w:sz w:val="28"/>
          <w:szCs w:val="28"/>
          <w:lang w:val="kk-KZ" w:eastAsia="ru-RU"/>
        </w:rPr>
        <w:t>Agrodata</w:t>
      </w:r>
      <w:r w:rsidRPr="00E90744">
        <w:rPr>
          <w:rFonts w:ascii="Times New Roman" w:eastAsia="Times New Roman" w:hAnsi="Times New Roman" w:cs="Times New Roman"/>
          <w:bCs/>
          <w:sz w:val="28"/>
          <w:szCs w:val="28"/>
          <w:lang w:val="kk-KZ" w:eastAsia="ru-RU"/>
        </w:rPr>
        <w:t>» қосымшасы іске қосылды, онда өсімдік шаруашылығында шешім қабылдауға қажетті барлық негізгі ақпарат қолжетімді.</w:t>
      </w:r>
    </w:p>
    <w:p w:rsidR="003A5B83" w:rsidRPr="00E90744" w:rsidP="003A5B83">
      <w:pPr>
        <w:spacing w:after="0" w:line="240" w:lineRule="auto"/>
        <w:ind w:firstLine="708"/>
        <w:jc w:val="both"/>
        <w:rPr>
          <w:rFonts w:ascii="Times New Roman" w:eastAsia="Times New Roman" w:hAnsi="Times New Roman" w:cs="Times New Roman"/>
          <w:bCs/>
          <w:sz w:val="28"/>
          <w:szCs w:val="28"/>
          <w:lang w:val="kk-KZ" w:eastAsia="ru-RU"/>
        </w:rPr>
      </w:pPr>
      <w:r w:rsidRPr="00E90744">
        <w:rPr>
          <w:rFonts w:ascii="Times New Roman" w:eastAsia="Times New Roman" w:hAnsi="Times New Roman" w:cs="Times New Roman"/>
          <w:bCs/>
          <w:sz w:val="28"/>
          <w:szCs w:val="28"/>
          <w:lang w:val="kk-KZ" w:eastAsia="ru-RU"/>
        </w:rPr>
        <w:t>Айта кету керек, АӨК жоспарлау үшін консультативтік сипаттағы ұзақ мерзімді болжамдар қолданылады. Ұзақ мерзімді болжамдар астрономиялық құбылыстар, «мұхит-жер-атмосфера» жүйесінің ғаламдық жылу және ылғал алмасуы, атмосфераның жалпы айналымы және басқа да көптеген факторлар сияқты әртүрлі факторлар әсер ететін жаһандық атмосфералық процестерге байланысты.</w:t>
      </w:r>
    </w:p>
    <w:p w:rsidR="003A5B83" w:rsidRPr="00E90744" w:rsidP="003A5B83">
      <w:pPr>
        <w:spacing w:after="0" w:line="240" w:lineRule="auto"/>
        <w:ind w:firstLine="708"/>
        <w:jc w:val="both"/>
        <w:rPr>
          <w:rFonts w:ascii="Times New Roman" w:eastAsia="Times New Roman" w:hAnsi="Times New Roman" w:cs="Times New Roman"/>
          <w:bCs/>
          <w:sz w:val="28"/>
          <w:szCs w:val="28"/>
          <w:lang w:val="kk-KZ" w:eastAsia="ru-RU"/>
        </w:rPr>
      </w:pPr>
      <w:r w:rsidRPr="00E90744">
        <w:rPr>
          <w:rFonts w:ascii="Times New Roman" w:eastAsia="Times New Roman" w:hAnsi="Times New Roman" w:cs="Times New Roman"/>
          <w:bCs/>
          <w:sz w:val="28"/>
          <w:szCs w:val="28"/>
          <w:lang w:val="kk-KZ" w:eastAsia="ru-RU"/>
        </w:rPr>
        <w:t xml:space="preserve">Сондықтан, өкінішке орай, әлемнің бірде-бір метеорологиялық қызметінің мамандары ауа температурасының қандай мәндерге дейін өзгеретінін және жауын-шашынның қанша түсетінін ұзақ уақытқа жоғары дәлдікпен болжай алмайды. Айлық климаттық ауа райы болжамдарына арналған атмосфераның гидродинамикалық моделі ауа мен жауын-шашынның орташа айлық температурасының </w:t>
      </w:r>
      <w:r w:rsidRPr="00E90744">
        <w:rPr>
          <w:rFonts w:ascii="Times New Roman" w:eastAsia="Times New Roman" w:hAnsi="Times New Roman" w:cs="Times New Roman"/>
          <w:bCs/>
          <w:sz w:val="28"/>
          <w:szCs w:val="28"/>
          <w:lang w:val="kk-KZ" w:eastAsia="ru-RU"/>
        </w:rPr>
        <w:t>метеопараметрлердің</w:t>
      </w:r>
      <w:r w:rsidRPr="00E90744">
        <w:rPr>
          <w:rFonts w:ascii="Times New Roman" w:eastAsia="Times New Roman" w:hAnsi="Times New Roman" w:cs="Times New Roman"/>
          <w:bCs/>
          <w:sz w:val="28"/>
          <w:szCs w:val="28"/>
          <w:lang w:val="kk-KZ" w:eastAsia="ru-RU"/>
        </w:rPr>
        <w:t xml:space="preserve"> сандық мәндерін айқындамай көпжылдық нормадан (нормадан жоғары немесе төмен) ауытқу болжамын береді. Ғылымның қазіргі заманғы дамуы ауа-райын 10-15 күннен астам мерзімге жоғары дәлдікпен болжауға мүмкіндік бермейді. </w:t>
      </w:r>
    </w:p>
    <w:p w:rsidR="003A5B83" w:rsidRPr="00E90744" w:rsidP="003A5B83">
      <w:pPr>
        <w:spacing w:after="0" w:line="240" w:lineRule="auto"/>
        <w:ind w:firstLine="708"/>
        <w:jc w:val="both"/>
        <w:rPr>
          <w:rFonts w:ascii="Times New Roman" w:eastAsia="Times New Roman" w:hAnsi="Times New Roman" w:cs="Times New Roman"/>
          <w:bCs/>
          <w:sz w:val="28"/>
          <w:szCs w:val="28"/>
          <w:lang w:val="kk-KZ" w:eastAsia="ru-RU"/>
        </w:rPr>
      </w:pPr>
      <w:r w:rsidRPr="00E90744">
        <w:rPr>
          <w:rFonts w:ascii="Times New Roman" w:eastAsia="Times New Roman" w:hAnsi="Times New Roman" w:cs="Times New Roman"/>
          <w:bCs/>
          <w:sz w:val="28"/>
          <w:szCs w:val="28"/>
          <w:lang w:val="kk-KZ" w:eastAsia="ru-RU"/>
        </w:rPr>
        <w:t>Өз кезегінде, ауа-райы болжамдарының дәлдігі арттыру үшін метеорологиялық және агрометеорологиялық мониторингтің тығыз желісі қажет. Қазіргі уақытта аумақты мониторингпен қамту жеткіліксіз.</w:t>
      </w:r>
    </w:p>
    <w:p w:rsidR="003A5B83" w:rsidRPr="00E90744" w:rsidP="003A5B83">
      <w:pPr>
        <w:spacing w:after="0" w:line="240" w:lineRule="auto"/>
        <w:ind w:firstLine="708"/>
        <w:jc w:val="both"/>
        <w:rPr>
          <w:rFonts w:ascii="Times New Roman" w:eastAsia="Times New Roman" w:hAnsi="Times New Roman" w:cs="Times New Roman"/>
          <w:bCs/>
          <w:sz w:val="28"/>
          <w:szCs w:val="28"/>
          <w:lang w:val="kk-KZ" w:eastAsia="ru-RU"/>
        </w:rPr>
      </w:pPr>
      <w:r w:rsidRPr="00E90744">
        <w:rPr>
          <w:rFonts w:ascii="Times New Roman" w:eastAsia="Times New Roman" w:hAnsi="Times New Roman" w:cs="Times New Roman"/>
          <w:bCs/>
          <w:sz w:val="28"/>
          <w:szCs w:val="28"/>
          <w:lang w:val="kk-KZ" w:eastAsia="ru-RU"/>
        </w:rPr>
        <w:t>Байқау желісінің тығыздығын арттыру және аумақты агрометеорологиялық мониторингпен қамтамасыз ету мақсатында АШТӨ-нің жаңа агрометеорологиялық бекеттерді ұйымдастыруы және ашуы және бақылау деректерін интеграциялау және оларды жергілікті агрометеорологиялық болжамдарды әзірлеуде пайдалану жоспарлануда. Осы бағыттағы жұмыстар жалғасуда.</w:t>
      </w:r>
    </w:p>
    <w:p w:rsidR="003A5B83" w:rsidRPr="00E90744" w:rsidP="003A5B83">
      <w:pPr>
        <w:spacing w:after="0" w:line="240" w:lineRule="auto"/>
        <w:jc w:val="both"/>
        <w:rPr>
          <w:rFonts w:ascii="Times New Roman" w:eastAsia="Times New Roman" w:hAnsi="Times New Roman" w:cs="Times New Roman"/>
          <w:bCs/>
          <w:sz w:val="28"/>
          <w:szCs w:val="28"/>
          <w:lang w:val="kk-KZ" w:eastAsia="ru-RU"/>
        </w:rPr>
      </w:pPr>
      <w:r w:rsidRPr="00E90744">
        <w:rPr>
          <w:rFonts w:ascii="Times New Roman" w:eastAsia="Times New Roman" w:hAnsi="Times New Roman" w:cs="Times New Roman"/>
          <w:bCs/>
          <w:spacing w:val="-20"/>
          <w:sz w:val="28"/>
          <w:szCs w:val="28"/>
          <w:lang w:val="kk-KZ" w:eastAsia="ru-RU"/>
        </w:rPr>
        <w:tab/>
      </w:r>
      <w:r w:rsidRPr="00E90744">
        <w:rPr>
          <w:rFonts w:ascii="Times New Roman" w:eastAsia="Times New Roman" w:hAnsi="Times New Roman" w:cs="Times New Roman"/>
          <w:bCs/>
          <w:sz w:val="28"/>
          <w:szCs w:val="28"/>
          <w:lang w:val="kk-KZ" w:eastAsia="ru-RU"/>
        </w:rPr>
        <w:t>Жалпы көтерілген мәселелер ҚР Үкіметінің тұрақты бақылауында.</w:t>
      </w:r>
    </w:p>
    <w:p w:rsidR="003A5B83" w:rsidRPr="00E90744" w:rsidP="003A5B83">
      <w:pPr>
        <w:spacing w:after="0" w:line="240" w:lineRule="auto"/>
        <w:jc w:val="both"/>
        <w:rPr>
          <w:rFonts w:ascii="Times New Roman" w:eastAsia="Times New Roman" w:hAnsi="Times New Roman" w:cs="Times New Roman"/>
          <w:bCs/>
          <w:sz w:val="28"/>
          <w:szCs w:val="28"/>
          <w:lang w:val="kk-KZ" w:eastAsia="ru-RU"/>
        </w:rPr>
      </w:pPr>
    </w:p>
    <w:p w:rsidR="003A5B83" w:rsidRPr="00424912" w:rsidP="003A5B83">
      <w:pPr>
        <w:spacing w:after="0" w:line="240" w:lineRule="auto"/>
        <w:jc w:val="center"/>
        <w:rPr>
          <w:rFonts w:ascii="Times New Roman" w:eastAsia="Times New Roman" w:hAnsi="Times New Roman" w:cs="Times New Roman"/>
          <w:bCs/>
          <w:spacing w:val="-20"/>
          <w:sz w:val="28"/>
          <w:szCs w:val="28"/>
          <w:lang w:val="kk-KZ" w:eastAsia="ru-RU"/>
        </w:rPr>
      </w:pPr>
      <w:r w:rsidRPr="00E90744">
        <w:rPr>
          <w:rFonts w:ascii="Times New Roman" w:eastAsia="Times New Roman" w:hAnsi="Times New Roman" w:cs="Times New Roman"/>
          <w:bCs/>
          <w:spacing w:val="-20"/>
          <w:sz w:val="28"/>
          <w:szCs w:val="28"/>
          <w:lang w:val="kk-KZ" w:eastAsia="ru-RU"/>
        </w:rPr>
        <w:t>_________________________</w:t>
      </w:r>
    </w:p>
    <w:p w:rsidR="003A5B83" w:rsidRPr="00424912" w:rsidP="003A5B83">
      <w:pPr>
        <w:spacing w:after="0" w:line="240" w:lineRule="auto"/>
        <w:jc w:val="center"/>
        <w:rPr>
          <w:rFonts w:ascii="Times New Roman" w:eastAsia="Times New Roman" w:hAnsi="Times New Roman" w:cs="Times New Roman"/>
          <w:bCs/>
          <w:spacing w:val="-20"/>
          <w:sz w:val="28"/>
          <w:szCs w:val="28"/>
          <w:lang w:val="kk-KZ" w:eastAsia="ru-RU"/>
        </w:rPr>
      </w:pPr>
    </w:p>
    <w:p w:rsidR="003A5B83" w:rsidRPr="00424912" w:rsidP="003A5B83">
      <w:pPr>
        <w:spacing w:after="0" w:line="240" w:lineRule="auto"/>
        <w:jc w:val="center"/>
        <w:rPr>
          <w:rFonts w:ascii="Times New Roman" w:eastAsia="Times New Roman" w:hAnsi="Times New Roman" w:cs="Times New Roman"/>
          <w:bCs/>
          <w:spacing w:val="-20"/>
          <w:sz w:val="28"/>
          <w:szCs w:val="28"/>
          <w:lang w:val="kk-KZ" w:eastAsia="ru-RU"/>
        </w:rPr>
      </w:pPr>
    </w:p>
    <w:p w:rsidR="003A5B83" w:rsidRPr="00424912" w:rsidP="003A5B83">
      <w:pPr>
        <w:spacing w:after="0" w:line="240" w:lineRule="auto"/>
        <w:jc w:val="center"/>
        <w:rPr>
          <w:rFonts w:ascii="Times New Roman" w:eastAsia="Times New Roman" w:hAnsi="Times New Roman" w:cs="Times New Roman"/>
          <w:bCs/>
          <w:spacing w:val="-20"/>
          <w:sz w:val="28"/>
          <w:szCs w:val="28"/>
          <w:lang w:val="kk-KZ" w:eastAsia="ru-RU"/>
        </w:rPr>
      </w:pPr>
    </w:p>
    <w:p w:rsidR="003A5B83" w:rsidRPr="00424912" w:rsidP="003A5B83">
      <w:pPr>
        <w:spacing w:after="0" w:line="240" w:lineRule="auto"/>
        <w:jc w:val="center"/>
        <w:rPr>
          <w:rFonts w:ascii="Times New Roman" w:eastAsia="Times New Roman" w:hAnsi="Times New Roman" w:cs="Times New Roman"/>
          <w:bCs/>
          <w:spacing w:val="-20"/>
          <w:sz w:val="28"/>
          <w:szCs w:val="28"/>
          <w:lang w:val="kk-KZ" w:eastAsia="ru-RU"/>
        </w:rPr>
      </w:pPr>
    </w:p>
    <w:p w:rsidR="001A03F8" w:rsidP="003A5B83">
      <w:pPr>
        <w:spacing w:after="0" w:line="240" w:lineRule="auto"/>
        <w:ind w:firstLine="709"/>
        <w:jc w:val="both"/>
        <w:rPr>
          <w:rFonts w:ascii="Times New Roman" w:eastAsia="Times New Roman" w:hAnsi="Times New Roman" w:cs="Times New Roman"/>
          <w:bCs/>
          <w:spacing w:val="-20"/>
          <w:sz w:val="28"/>
          <w:szCs w:val="28"/>
          <w:lang w:val="kk-KZ" w:eastAsia="ru-RU"/>
        </w:rPr>
      </w:pPr>
    </w:p>
    <w:p w:rsidR="001A03F8" w:rsidP="003A5B83">
      <w:pPr>
        <w:spacing w:after="0" w:line="240" w:lineRule="auto"/>
        <w:ind w:firstLine="709"/>
        <w:jc w:val="both"/>
        <w:rPr>
          <w:rFonts w:ascii="Times New Roman" w:eastAsia="Times New Roman" w:hAnsi="Times New Roman" w:cs="Times New Roman"/>
          <w:bCs/>
          <w:spacing w:val="-20"/>
          <w:sz w:val="28"/>
          <w:szCs w:val="28"/>
          <w:lang w:val="kk-KZ" w:eastAsia="ru-RU"/>
        </w:rPr>
      </w:pPr>
    </w:p>
    <w:p w:rsidR="00E0721B" w:rsidP="003A5B83">
      <w:pPr>
        <w:spacing w:after="0" w:line="240" w:lineRule="auto"/>
        <w:ind w:firstLine="709"/>
        <w:jc w:val="both"/>
        <w:rPr>
          <w:rFonts w:ascii="Times New Roman" w:eastAsia="Times New Roman" w:hAnsi="Times New Roman" w:cs="Times New Roman"/>
          <w:bCs/>
          <w:spacing w:val="-20"/>
          <w:sz w:val="28"/>
          <w:szCs w:val="28"/>
          <w:lang w:val="kk-KZ" w:eastAsia="ru-RU"/>
        </w:rPr>
      </w:pPr>
    </w:p>
    <w:p w:rsidR="00E0721B" w:rsidP="003A5B83">
      <w:pPr>
        <w:spacing w:after="0" w:line="240" w:lineRule="auto"/>
        <w:ind w:firstLine="709"/>
        <w:jc w:val="both"/>
        <w:rPr>
          <w:rFonts w:ascii="Times New Roman" w:eastAsia="Times New Roman" w:hAnsi="Times New Roman" w:cs="Times New Roman"/>
          <w:bCs/>
          <w:spacing w:val="-20"/>
          <w:sz w:val="28"/>
          <w:szCs w:val="28"/>
          <w:lang w:val="kk-KZ" w:eastAsia="ru-RU"/>
        </w:rPr>
      </w:pPr>
    </w:p>
    <w:p w:rsidR="00E0721B" w:rsidP="003A5B83">
      <w:pPr>
        <w:spacing w:after="0" w:line="240" w:lineRule="auto"/>
        <w:ind w:firstLine="709"/>
        <w:jc w:val="both"/>
        <w:rPr>
          <w:rFonts w:ascii="Times New Roman" w:eastAsia="Times New Roman" w:hAnsi="Times New Roman" w:cs="Times New Roman"/>
          <w:bCs/>
          <w:spacing w:val="-20"/>
          <w:sz w:val="28"/>
          <w:szCs w:val="28"/>
          <w:lang w:val="kk-KZ" w:eastAsia="ru-RU"/>
        </w:rPr>
      </w:pPr>
    </w:p>
    <w:p w:rsidR="00E0721B" w:rsidP="003A5B83">
      <w:pPr>
        <w:spacing w:after="0" w:line="240" w:lineRule="auto"/>
        <w:ind w:firstLine="709"/>
        <w:jc w:val="both"/>
        <w:rPr>
          <w:rFonts w:ascii="Times New Roman" w:eastAsia="Times New Roman" w:hAnsi="Times New Roman" w:cs="Times New Roman"/>
          <w:bCs/>
          <w:spacing w:val="-20"/>
          <w:sz w:val="28"/>
          <w:szCs w:val="28"/>
          <w:lang w:val="kk-KZ" w:eastAsia="ru-RU"/>
        </w:rPr>
      </w:pPr>
    </w:p>
    <w:p w:rsidR="001A03F8" w:rsidP="003A5B83">
      <w:pPr>
        <w:spacing w:after="0" w:line="240" w:lineRule="auto"/>
        <w:ind w:firstLine="709"/>
        <w:jc w:val="both"/>
        <w:rPr>
          <w:rFonts w:ascii="Times New Roman" w:eastAsia="Times New Roman" w:hAnsi="Times New Roman" w:cs="Times New Roman"/>
          <w:bCs/>
          <w:spacing w:val="-20"/>
          <w:sz w:val="28"/>
          <w:szCs w:val="28"/>
          <w:lang w:val="kk-KZ" w:eastAsia="ru-RU"/>
        </w:rPr>
      </w:pPr>
    </w:p>
    <w:p w:rsidR="001A03F8" w:rsidP="003A5B83">
      <w:pPr>
        <w:spacing w:after="0" w:line="240" w:lineRule="auto"/>
        <w:ind w:firstLine="709"/>
        <w:jc w:val="both"/>
        <w:rPr>
          <w:rFonts w:ascii="Times New Roman" w:eastAsia="Times New Roman" w:hAnsi="Times New Roman" w:cs="Times New Roman"/>
          <w:bCs/>
          <w:spacing w:val="-20"/>
          <w:sz w:val="28"/>
          <w:szCs w:val="28"/>
          <w:lang w:val="kk-KZ" w:eastAsia="ru-RU"/>
        </w:rPr>
      </w:pPr>
    </w:p>
    <w:p w:rsidR="001A03F8" w:rsidRPr="001A03F8" w:rsidP="001A03F8">
      <w:pPr>
        <w:shd w:val="clear" w:color="auto" w:fill="FFFFFF"/>
        <w:spacing w:after="0" w:line="240" w:lineRule="auto"/>
        <w:jc w:val="center"/>
        <w:outlineLvl w:val="1"/>
        <w:rPr>
          <w:rFonts w:ascii="Times New Roman" w:eastAsia="Calibri" w:hAnsi="Times New Roman" w:cs="Times New Roman"/>
          <w:b/>
          <w:sz w:val="28"/>
          <w:szCs w:val="28"/>
          <w:lang w:val="kk-KZ"/>
        </w:rPr>
      </w:pPr>
      <w:r w:rsidRPr="001A03F8">
        <w:rPr>
          <w:rFonts w:ascii="Times New Roman" w:eastAsia="Calibri" w:hAnsi="Times New Roman" w:cs="Times New Roman"/>
          <w:b/>
          <w:sz w:val="28"/>
          <w:szCs w:val="28"/>
          <w:lang w:val="kk-KZ"/>
        </w:rPr>
        <w:t>Қазақстан Республикасы Парламенті Сенатының депутаттары</w:t>
      </w:r>
    </w:p>
    <w:p w:rsidR="001A03F8" w:rsidRPr="001A03F8" w:rsidP="001A03F8">
      <w:pPr>
        <w:shd w:val="clear" w:color="auto" w:fill="FFFFFF"/>
        <w:spacing w:after="0" w:line="240" w:lineRule="auto"/>
        <w:outlineLvl w:val="1"/>
        <w:rPr>
          <w:rFonts w:ascii="Times New Roman" w:eastAsia="Calibri" w:hAnsi="Times New Roman" w:cs="Times New Roman"/>
          <w:b/>
          <w:sz w:val="28"/>
          <w:szCs w:val="28"/>
          <w:lang w:val="kk-KZ"/>
        </w:rPr>
      </w:pPr>
    </w:p>
    <w:p w:rsidR="001A03F8" w:rsidRPr="001A03F8" w:rsidP="001A03F8">
      <w:pPr>
        <w:shd w:val="clear" w:color="auto" w:fill="FFFFFF"/>
        <w:spacing w:after="0" w:line="240" w:lineRule="auto"/>
        <w:jc w:val="both"/>
        <w:outlineLvl w:val="1"/>
        <w:rPr>
          <w:rFonts w:ascii="Times New Roman" w:eastAsia="Times New Roman" w:hAnsi="Times New Roman" w:cs="Times New Roman"/>
          <w:bCs/>
          <w:sz w:val="28"/>
          <w:szCs w:val="28"/>
          <w:lang w:val="kk-KZ"/>
        </w:rPr>
      </w:pPr>
      <w:r w:rsidRPr="001A03F8">
        <w:rPr>
          <w:rFonts w:ascii="Times New Roman" w:eastAsia="Times New Roman" w:hAnsi="Times New Roman" w:cs="Times New Roman"/>
          <w:bCs/>
          <w:sz w:val="28"/>
          <w:szCs w:val="28"/>
          <w:lang w:val="kk-KZ"/>
        </w:rPr>
        <w:t>1. А.Қ. Күрішбаев</w:t>
      </w:r>
    </w:p>
    <w:p w:rsidR="001A03F8" w:rsidRPr="001A03F8" w:rsidP="001A03F8">
      <w:pPr>
        <w:shd w:val="clear" w:color="auto" w:fill="FFFFFF"/>
        <w:spacing w:after="0" w:line="240" w:lineRule="auto"/>
        <w:jc w:val="both"/>
        <w:outlineLvl w:val="1"/>
        <w:rPr>
          <w:rFonts w:ascii="Times New Roman" w:eastAsia="Times New Roman" w:hAnsi="Times New Roman" w:cs="Times New Roman"/>
          <w:bCs/>
          <w:sz w:val="28"/>
          <w:szCs w:val="28"/>
          <w:lang w:val="kk-KZ"/>
        </w:rPr>
      </w:pPr>
      <w:r w:rsidRPr="001A03F8">
        <w:rPr>
          <w:rFonts w:ascii="Times New Roman" w:eastAsia="Times New Roman" w:hAnsi="Times New Roman" w:cs="Times New Roman"/>
          <w:bCs/>
          <w:sz w:val="28"/>
          <w:szCs w:val="28"/>
          <w:lang w:val="kk-KZ"/>
        </w:rPr>
        <w:t>2. Ә.Ә. Бектаев</w:t>
      </w:r>
    </w:p>
    <w:p w:rsidR="001A03F8" w:rsidRPr="001A03F8" w:rsidP="001A03F8">
      <w:pPr>
        <w:shd w:val="clear" w:color="auto" w:fill="FFFFFF"/>
        <w:spacing w:after="0" w:line="240" w:lineRule="auto"/>
        <w:jc w:val="both"/>
        <w:outlineLvl w:val="1"/>
        <w:rPr>
          <w:rFonts w:ascii="Times New Roman" w:eastAsia="Times New Roman" w:hAnsi="Times New Roman" w:cs="Times New Roman"/>
          <w:bCs/>
          <w:sz w:val="28"/>
          <w:szCs w:val="28"/>
          <w:lang w:val="kk-KZ"/>
        </w:rPr>
      </w:pPr>
      <w:r w:rsidRPr="001A03F8">
        <w:rPr>
          <w:rFonts w:ascii="Times New Roman" w:eastAsia="Times New Roman" w:hAnsi="Times New Roman" w:cs="Times New Roman"/>
          <w:bCs/>
          <w:sz w:val="28"/>
          <w:szCs w:val="28"/>
          <w:lang w:val="kk-KZ"/>
        </w:rPr>
        <w:t>3. Л.Ж. Сүлеймен</w:t>
      </w:r>
    </w:p>
    <w:p w:rsidR="001A03F8" w:rsidRPr="001A03F8" w:rsidP="001A03F8">
      <w:pPr>
        <w:shd w:val="clear" w:color="auto" w:fill="FFFFFF"/>
        <w:spacing w:after="0" w:line="240" w:lineRule="auto"/>
        <w:jc w:val="both"/>
        <w:outlineLvl w:val="1"/>
        <w:rPr>
          <w:rFonts w:ascii="Times New Roman" w:eastAsia="Times New Roman" w:hAnsi="Times New Roman" w:cs="Times New Roman"/>
          <w:bCs/>
          <w:sz w:val="28"/>
          <w:szCs w:val="28"/>
          <w:lang w:val="kk-KZ"/>
        </w:rPr>
      </w:pPr>
      <w:r w:rsidRPr="001A03F8">
        <w:rPr>
          <w:rFonts w:ascii="Times New Roman" w:eastAsia="Times New Roman" w:hAnsi="Times New Roman" w:cs="Times New Roman"/>
          <w:bCs/>
          <w:sz w:val="28"/>
          <w:szCs w:val="28"/>
          <w:lang w:val="kk-KZ"/>
        </w:rPr>
        <w:t xml:space="preserve">4 .О.А. </w:t>
      </w:r>
      <w:r w:rsidRPr="001A03F8">
        <w:rPr>
          <w:rFonts w:ascii="Times New Roman" w:eastAsia="Times New Roman" w:hAnsi="Times New Roman" w:cs="Times New Roman"/>
          <w:bCs/>
          <w:sz w:val="28"/>
          <w:szCs w:val="28"/>
          <w:lang w:val="kk-KZ"/>
        </w:rPr>
        <w:t>Булавкина</w:t>
      </w:r>
    </w:p>
    <w:p w:rsidR="001A03F8" w:rsidRPr="001A03F8" w:rsidP="001A03F8">
      <w:pPr>
        <w:shd w:val="clear" w:color="auto" w:fill="FFFFFF"/>
        <w:spacing w:after="0" w:line="240" w:lineRule="auto"/>
        <w:jc w:val="both"/>
        <w:outlineLvl w:val="1"/>
        <w:rPr>
          <w:rFonts w:ascii="Times New Roman" w:eastAsia="Times New Roman" w:hAnsi="Times New Roman" w:cs="Times New Roman"/>
          <w:bCs/>
          <w:sz w:val="28"/>
          <w:szCs w:val="28"/>
          <w:lang w:val="kk-KZ"/>
        </w:rPr>
      </w:pPr>
      <w:r w:rsidRPr="001A03F8">
        <w:rPr>
          <w:rFonts w:ascii="Times New Roman" w:eastAsia="Times New Roman" w:hAnsi="Times New Roman" w:cs="Times New Roman"/>
          <w:bCs/>
          <w:sz w:val="28"/>
          <w:szCs w:val="28"/>
          <w:lang w:val="kk-KZ"/>
        </w:rPr>
        <w:t>5. М.С. Жұмағазиев</w:t>
      </w:r>
    </w:p>
    <w:p w:rsidR="001A03F8" w:rsidRPr="001A03F8" w:rsidP="001A03F8">
      <w:pPr>
        <w:shd w:val="clear" w:color="auto" w:fill="FFFFFF"/>
        <w:spacing w:after="0" w:line="240" w:lineRule="auto"/>
        <w:jc w:val="both"/>
        <w:outlineLvl w:val="1"/>
        <w:rPr>
          <w:rFonts w:ascii="Times New Roman" w:eastAsia="Times New Roman" w:hAnsi="Times New Roman" w:cs="Times New Roman"/>
          <w:bCs/>
          <w:sz w:val="28"/>
          <w:szCs w:val="28"/>
          <w:lang w:val="kk-KZ"/>
        </w:rPr>
      </w:pPr>
      <w:r w:rsidRPr="001A03F8">
        <w:rPr>
          <w:rFonts w:ascii="Times New Roman" w:eastAsia="Times New Roman" w:hAnsi="Times New Roman" w:cs="Times New Roman"/>
          <w:bCs/>
          <w:sz w:val="28"/>
          <w:szCs w:val="28"/>
          <w:lang w:val="kk-KZ"/>
        </w:rPr>
        <w:t xml:space="preserve">6. С.М. </w:t>
      </w:r>
      <w:r w:rsidRPr="001A03F8">
        <w:rPr>
          <w:rFonts w:ascii="Times New Roman" w:eastAsia="Times New Roman" w:hAnsi="Times New Roman" w:cs="Times New Roman"/>
          <w:bCs/>
          <w:sz w:val="28"/>
          <w:szCs w:val="28"/>
          <w:lang w:val="kk-KZ"/>
        </w:rPr>
        <w:t>Дүйсембинов</w:t>
      </w:r>
    </w:p>
    <w:p w:rsidR="001A03F8" w:rsidRPr="001A03F8" w:rsidP="001A03F8">
      <w:pPr>
        <w:shd w:val="clear" w:color="auto" w:fill="FFFFFF"/>
        <w:spacing w:after="0" w:line="240" w:lineRule="auto"/>
        <w:jc w:val="both"/>
        <w:outlineLvl w:val="1"/>
        <w:rPr>
          <w:rFonts w:ascii="Times New Roman" w:eastAsia="Times New Roman" w:hAnsi="Times New Roman" w:cs="Times New Roman"/>
          <w:bCs/>
          <w:sz w:val="28"/>
          <w:szCs w:val="28"/>
          <w:lang w:val="kk-KZ"/>
        </w:rPr>
      </w:pPr>
      <w:r w:rsidRPr="001A03F8">
        <w:rPr>
          <w:rFonts w:ascii="Times New Roman" w:eastAsia="Times New Roman" w:hAnsi="Times New Roman" w:cs="Times New Roman"/>
          <w:bCs/>
          <w:sz w:val="28"/>
          <w:szCs w:val="28"/>
          <w:lang w:val="kk-KZ"/>
        </w:rPr>
        <w:t>7. Д.М. Мусин</w:t>
      </w:r>
    </w:p>
    <w:p w:rsidR="001A03F8" w:rsidRPr="001A03F8" w:rsidP="001A03F8">
      <w:pPr>
        <w:shd w:val="clear" w:color="auto" w:fill="FFFFFF"/>
        <w:spacing w:after="0" w:line="240" w:lineRule="auto"/>
        <w:jc w:val="both"/>
        <w:outlineLvl w:val="1"/>
        <w:rPr>
          <w:rFonts w:ascii="Times New Roman" w:eastAsia="Times New Roman" w:hAnsi="Times New Roman" w:cs="Times New Roman"/>
          <w:bCs/>
          <w:sz w:val="28"/>
          <w:szCs w:val="28"/>
          <w:lang w:val="kk-KZ"/>
        </w:rPr>
      </w:pPr>
      <w:r w:rsidRPr="001A03F8">
        <w:rPr>
          <w:rFonts w:ascii="Times New Roman" w:eastAsia="Times New Roman" w:hAnsi="Times New Roman" w:cs="Times New Roman"/>
          <w:bCs/>
          <w:sz w:val="28"/>
          <w:szCs w:val="28"/>
          <w:lang w:val="kk-KZ"/>
        </w:rPr>
        <w:t>8. Ә.Т. Нұралиев</w:t>
      </w:r>
    </w:p>
    <w:p w:rsidR="001A03F8" w:rsidRPr="001A03F8" w:rsidP="001A03F8">
      <w:pPr>
        <w:shd w:val="clear" w:color="auto" w:fill="FFFFFF"/>
        <w:spacing w:after="0" w:line="240" w:lineRule="auto"/>
        <w:jc w:val="both"/>
        <w:outlineLvl w:val="1"/>
        <w:rPr>
          <w:rFonts w:ascii="Times New Roman" w:eastAsia="Times New Roman" w:hAnsi="Times New Roman" w:cs="Times New Roman"/>
          <w:bCs/>
          <w:sz w:val="28"/>
          <w:szCs w:val="28"/>
          <w:lang w:val="kk-KZ"/>
        </w:rPr>
      </w:pPr>
      <w:r w:rsidRPr="001A03F8">
        <w:rPr>
          <w:rFonts w:ascii="Times New Roman" w:eastAsia="Times New Roman" w:hAnsi="Times New Roman" w:cs="Times New Roman"/>
          <w:bCs/>
          <w:sz w:val="28"/>
          <w:szCs w:val="28"/>
          <w:lang w:val="kk-KZ"/>
        </w:rPr>
        <w:t>9. Е.Х. Сұлтанов</w:t>
      </w:r>
    </w:p>
    <w:p w:rsidR="001A03F8" w:rsidRPr="001A03F8" w:rsidP="001A03F8">
      <w:pPr>
        <w:shd w:val="clear" w:color="auto" w:fill="FFFFFF"/>
        <w:spacing w:after="0" w:line="240" w:lineRule="auto"/>
        <w:outlineLvl w:val="1"/>
        <w:rPr>
          <w:rFonts w:ascii="Times New Roman" w:eastAsia="Calibri" w:hAnsi="Times New Roman" w:cs="Times New Roman"/>
          <w:b/>
          <w:sz w:val="28"/>
          <w:szCs w:val="28"/>
          <w:lang w:val="kk-KZ"/>
        </w:rPr>
      </w:pPr>
    </w:p>
    <w:p w:rsidR="001A03F8" w:rsidRPr="001A03F8" w:rsidP="001A03F8">
      <w:pPr>
        <w:shd w:val="clear" w:color="auto" w:fill="FFFFFF"/>
        <w:spacing w:after="0" w:line="240" w:lineRule="auto"/>
        <w:outlineLvl w:val="1"/>
        <w:rPr>
          <w:rFonts w:ascii="Times New Roman" w:eastAsia="Calibri" w:hAnsi="Times New Roman" w:cs="Times New Roman"/>
          <w:b/>
          <w:sz w:val="28"/>
          <w:szCs w:val="28"/>
          <w:lang w:val="kk-KZ"/>
        </w:rPr>
      </w:pPr>
    </w:p>
    <w:p w:rsidR="001A03F8" w:rsidRPr="001A03F8" w:rsidP="001A03F8">
      <w:pPr>
        <w:shd w:val="clear" w:color="auto" w:fill="FFFFFF"/>
        <w:spacing w:after="0" w:line="240" w:lineRule="auto"/>
        <w:outlineLvl w:val="1"/>
        <w:rPr>
          <w:rFonts w:ascii="Times New Roman" w:eastAsia="Calibri" w:hAnsi="Times New Roman" w:cs="Times New Roman"/>
          <w:b/>
          <w:sz w:val="28"/>
          <w:szCs w:val="28"/>
          <w:lang w:val="kk-KZ"/>
        </w:rPr>
      </w:pPr>
    </w:p>
    <w:p w:rsidR="001A03F8" w:rsidRPr="001A03F8" w:rsidP="001A03F8">
      <w:pPr>
        <w:shd w:val="clear" w:color="auto" w:fill="FFFFFF"/>
        <w:spacing w:after="0" w:line="240" w:lineRule="auto"/>
        <w:outlineLvl w:val="1"/>
        <w:rPr>
          <w:rFonts w:ascii="Times New Roman" w:eastAsia="Calibri" w:hAnsi="Times New Roman" w:cs="Times New Roman"/>
          <w:b/>
          <w:sz w:val="28"/>
          <w:szCs w:val="28"/>
          <w:lang w:val="kk-KZ"/>
        </w:rPr>
      </w:pPr>
    </w:p>
    <w:p w:rsidR="001A03F8" w:rsidRPr="001A03F8" w:rsidP="001A03F8">
      <w:pPr>
        <w:shd w:val="clear" w:color="auto" w:fill="FFFFFF"/>
        <w:spacing w:after="0" w:line="240" w:lineRule="auto"/>
        <w:outlineLvl w:val="1"/>
        <w:rPr>
          <w:rFonts w:ascii="Times New Roman" w:eastAsia="Calibri" w:hAnsi="Times New Roman" w:cs="Times New Roman"/>
          <w:b/>
          <w:sz w:val="28"/>
          <w:szCs w:val="28"/>
          <w:lang w:val="kk-KZ"/>
        </w:rPr>
      </w:pPr>
    </w:p>
    <w:p w:rsidR="001A03F8" w:rsidRPr="001A03F8" w:rsidP="001A03F8">
      <w:pPr>
        <w:shd w:val="clear" w:color="auto" w:fill="FFFFFF"/>
        <w:spacing w:after="0" w:line="240" w:lineRule="auto"/>
        <w:outlineLvl w:val="1"/>
        <w:rPr>
          <w:rFonts w:ascii="Times New Roman" w:eastAsia="Calibri" w:hAnsi="Times New Roman" w:cs="Times New Roman"/>
          <w:b/>
          <w:sz w:val="28"/>
          <w:szCs w:val="28"/>
          <w:lang w:val="kk-KZ"/>
        </w:rPr>
      </w:pPr>
    </w:p>
    <w:p w:rsidR="001A03F8" w:rsidRPr="001A03F8" w:rsidP="001A03F8">
      <w:pPr>
        <w:shd w:val="clear" w:color="auto" w:fill="FFFFFF"/>
        <w:spacing w:after="0" w:line="240" w:lineRule="auto"/>
        <w:outlineLvl w:val="1"/>
        <w:rPr>
          <w:rFonts w:ascii="Times New Roman" w:eastAsia="Calibri" w:hAnsi="Times New Roman" w:cs="Times New Roman"/>
          <w:b/>
          <w:sz w:val="28"/>
          <w:szCs w:val="28"/>
          <w:lang w:val="kk-KZ"/>
        </w:rPr>
      </w:pPr>
    </w:p>
    <w:p w:rsidR="001A03F8" w:rsidRPr="001A03F8" w:rsidP="001A03F8">
      <w:pPr>
        <w:shd w:val="clear" w:color="auto" w:fill="FFFFFF"/>
        <w:spacing w:after="0" w:line="240" w:lineRule="auto"/>
        <w:outlineLvl w:val="1"/>
        <w:rPr>
          <w:rFonts w:ascii="Times New Roman" w:eastAsia="Calibri" w:hAnsi="Times New Roman" w:cs="Times New Roman"/>
          <w:b/>
          <w:sz w:val="28"/>
          <w:szCs w:val="28"/>
          <w:lang w:val="kk-KZ"/>
        </w:rPr>
      </w:pPr>
    </w:p>
    <w:p w:rsidR="001A03F8" w:rsidRPr="001A03F8" w:rsidP="001A03F8">
      <w:pPr>
        <w:shd w:val="clear" w:color="auto" w:fill="FFFFFF"/>
        <w:spacing w:after="0" w:line="240" w:lineRule="auto"/>
        <w:outlineLvl w:val="1"/>
        <w:rPr>
          <w:rFonts w:ascii="Times New Roman" w:eastAsia="Calibri" w:hAnsi="Times New Roman" w:cs="Times New Roman"/>
          <w:b/>
          <w:sz w:val="28"/>
          <w:szCs w:val="28"/>
          <w:lang w:val="kk-KZ"/>
        </w:rPr>
      </w:pPr>
    </w:p>
    <w:p w:rsidR="001A03F8" w:rsidRPr="001A03F8" w:rsidP="001A03F8">
      <w:pPr>
        <w:shd w:val="clear" w:color="auto" w:fill="FFFFFF"/>
        <w:spacing w:after="0" w:line="240" w:lineRule="auto"/>
        <w:outlineLvl w:val="1"/>
        <w:rPr>
          <w:rFonts w:ascii="Times New Roman" w:eastAsia="Calibri" w:hAnsi="Times New Roman" w:cs="Times New Roman"/>
          <w:b/>
          <w:sz w:val="28"/>
          <w:szCs w:val="28"/>
          <w:lang w:val="kk-KZ"/>
        </w:rPr>
      </w:pPr>
    </w:p>
    <w:p w:rsidR="001A03F8" w:rsidRPr="001A03F8" w:rsidP="001A03F8">
      <w:pPr>
        <w:shd w:val="clear" w:color="auto" w:fill="FFFFFF"/>
        <w:spacing w:after="0" w:line="240" w:lineRule="auto"/>
        <w:outlineLvl w:val="1"/>
        <w:rPr>
          <w:rFonts w:ascii="Times New Roman" w:eastAsia="Calibri" w:hAnsi="Times New Roman" w:cs="Times New Roman"/>
          <w:b/>
          <w:sz w:val="28"/>
          <w:szCs w:val="28"/>
          <w:lang w:val="kk-KZ"/>
        </w:rPr>
      </w:pPr>
    </w:p>
    <w:p w:rsidR="001A03F8" w:rsidRPr="001A03F8" w:rsidP="001A03F8">
      <w:pPr>
        <w:shd w:val="clear" w:color="auto" w:fill="FFFFFF"/>
        <w:spacing w:after="0" w:line="240" w:lineRule="auto"/>
        <w:outlineLvl w:val="1"/>
        <w:rPr>
          <w:rFonts w:ascii="Times New Roman" w:eastAsia="Calibri" w:hAnsi="Times New Roman" w:cs="Times New Roman"/>
          <w:b/>
          <w:sz w:val="28"/>
          <w:szCs w:val="28"/>
          <w:lang w:val="kk-KZ"/>
        </w:rPr>
      </w:pPr>
    </w:p>
    <w:p w:rsidR="001A03F8" w:rsidRPr="001A03F8" w:rsidP="001A03F8">
      <w:pPr>
        <w:shd w:val="clear" w:color="auto" w:fill="FFFFFF"/>
        <w:spacing w:after="0" w:line="240" w:lineRule="auto"/>
        <w:outlineLvl w:val="1"/>
        <w:rPr>
          <w:rFonts w:ascii="Times New Roman" w:eastAsia="Calibri" w:hAnsi="Times New Roman" w:cs="Times New Roman"/>
          <w:b/>
          <w:sz w:val="28"/>
          <w:szCs w:val="28"/>
          <w:lang w:val="kk-KZ"/>
        </w:rPr>
      </w:pPr>
    </w:p>
    <w:p w:rsidR="001A03F8" w:rsidRPr="001A03F8" w:rsidP="001A03F8">
      <w:pPr>
        <w:shd w:val="clear" w:color="auto" w:fill="FFFFFF"/>
        <w:spacing w:after="0" w:line="240" w:lineRule="auto"/>
        <w:outlineLvl w:val="1"/>
        <w:rPr>
          <w:rFonts w:ascii="Times New Roman" w:eastAsia="Calibri" w:hAnsi="Times New Roman" w:cs="Times New Roman"/>
          <w:b/>
          <w:sz w:val="28"/>
          <w:szCs w:val="28"/>
          <w:lang w:val="kk-KZ"/>
        </w:rPr>
      </w:pPr>
    </w:p>
    <w:p w:rsidR="001A03F8" w:rsidRPr="001A03F8" w:rsidP="001A03F8">
      <w:pPr>
        <w:shd w:val="clear" w:color="auto" w:fill="FFFFFF"/>
        <w:spacing w:after="0" w:line="240" w:lineRule="auto"/>
        <w:outlineLvl w:val="1"/>
        <w:rPr>
          <w:rFonts w:ascii="Times New Roman" w:eastAsia="Calibri" w:hAnsi="Times New Roman" w:cs="Times New Roman"/>
          <w:b/>
          <w:sz w:val="28"/>
          <w:szCs w:val="28"/>
          <w:lang w:val="kk-KZ"/>
        </w:rPr>
      </w:pPr>
    </w:p>
    <w:p w:rsidR="001A03F8" w:rsidRPr="001A03F8" w:rsidP="001A03F8">
      <w:pPr>
        <w:spacing w:after="0" w:line="240" w:lineRule="auto"/>
        <w:rPr>
          <w:rFonts w:ascii="Times New Roman" w:eastAsia="Times New Roman" w:hAnsi="Times New Roman" w:cs="Times New Roman"/>
          <w:bCs/>
          <w:spacing w:val="-20"/>
          <w:sz w:val="28"/>
          <w:szCs w:val="28"/>
          <w:lang w:val="kk-KZ" w:eastAsia="ru-RU"/>
        </w:rPr>
      </w:pPr>
      <w:r w:rsidRPr="001A03F8">
        <w:rPr>
          <w:rFonts w:ascii="Times New Roman" w:eastAsia="Times New Roman" w:hAnsi="Times New Roman" w:cs="Times New Roman"/>
          <w:bCs/>
          <w:spacing w:val="-20"/>
          <w:sz w:val="28"/>
          <w:szCs w:val="28"/>
          <w:lang w:val="kk-KZ" w:eastAsia="ru-RU"/>
        </w:rPr>
        <w:t>Қ.А. Мейрембеков</w:t>
      </w:r>
    </w:p>
    <w:p w:rsidR="001A03F8" w:rsidRPr="001A03F8" w:rsidP="001A03F8">
      <w:pPr>
        <w:spacing w:after="0" w:line="240" w:lineRule="auto"/>
        <w:rPr>
          <w:rFonts w:ascii="Times New Roman" w:eastAsia="Times New Roman" w:hAnsi="Times New Roman" w:cs="Times New Roman"/>
          <w:bCs/>
          <w:spacing w:val="-20"/>
          <w:sz w:val="28"/>
          <w:szCs w:val="28"/>
          <w:lang w:val="kk-KZ" w:eastAsia="ru-RU"/>
        </w:rPr>
      </w:pPr>
      <w:r w:rsidRPr="001A03F8">
        <w:rPr>
          <w:rFonts w:ascii="Times New Roman" w:eastAsia="Times New Roman" w:hAnsi="Times New Roman" w:cs="Times New Roman"/>
          <w:bCs/>
          <w:spacing w:val="-20"/>
          <w:sz w:val="28"/>
          <w:szCs w:val="28"/>
          <w:lang w:val="kk-KZ" w:eastAsia="ru-RU"/>
        </w:rPr>
        <w:t>75-00-33</w:t>
      </w:r>
    </w:p>
    <w:p w:rsidR="001A03F8" w:rsidRPr="001A03F8" w:rsidP="001A03F8">
      <w:pPr>
        <w:shd w:val="clear" w:color="auto" w:fill="FFFFFF"/>
        <w:spacing w:after="0" w:line="240" w:lineRule="auto"/>
        <w:outlineLvl w:val="1"/>
        <w:rPr>
          <w:rFonts w:ascii="Times New Roman" w:eastAsia="Calibri" w:hAnsi="Times New Roman" w:cs="Times New Roman"/>
          <w:b/>
          <w:sz w:val="28"/>
          <w:szCs w:val="28"/>
          <w:lang w:val="kk-KZ"/>
        </w:rPr>
      </w:pPr>
    </w:p>
    <w:p w:rsidR="001A03F8" w:rsidRPr="00317882" w:rsidP="001A03F8">
      <w:pPr>
        <w:spacing w:after="0" w:line="240" w:lineRule="auto"/>
        <w:ind w:firstLine="709"/>
        <w:jc w:val="both"/>
        <w:rPr>
          <w:rFonts w:ascii="Times New Roman" w:eastAsia="Times New Roman" w:hAnsi="Times New Roman" w:cs="Times New Roman"/>
          <w:bCs/>
          <w:spacing w:val="-20"/>
          <w:sz w:val="28"/>
          <w:szCs w:val="28"/>
          <w:lang w:val="kk-KZ" w:eastAsia="ru-RU"/>
        </w:rPr>
      </w:pPr>
    </w:p>
    <w:sectPr w:rsidSect="003A5B83">
      <w:headerReference w:type="default" r:id="rId5"/>
      <w:pgSz w:w="11906" w:h="16838"/>
      <w:pgMar w:top="1134" w:right="851"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46393309"/>
      <w:docPartObj>
        <w:docPartGallery w:val="Page Numbers (Top of Page)"/>
        <w:docPartUnique/>
      </w:docPartObj>
    </w:sdtPr>
    <w:sdtContent>
      <w:p w:rsidR="00C07F35">
        <w:pPr>
          <w:pStyle w:val="Header"/>
          <w:jc w:val="center"/>
        </w:pPr>
        <w:r>
          <w:fldChar w:fldCharType="begin"/>
        </w:r>
        <w:r>
          <w:instrText>PAGE   \* MERGEFORMAT</w:instrText>
        </w:r>
        <w:r>
          <w:fldChar w:fldCharType="separate"/>
        </w:r>
        <w:r w:rsidR="000E1AA3">
          <w:rPr>
            <w:noProof/>
          </w:rPr>
          <w:t>7</w:t>
        </w:r>
        <w:r>
          <w:fldChar w:fldCharType="end"/>
        </w:r>
      </w:p>
    </w:sdtContent>
  </w:sdt>
  <w:p w:rsidR="00C07F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a"/>
    <w:uiPriority w:val="99"/>
    <w:semiHidden/>
    <w:unhideWhenUsed/>
    <w:rsid w:val="003247C8"/>
    <w:pPr>
      <w:spacing w:after="0" w:line="240" w:lineRule="auto"/>
    </w:pPr>
    <w:rPr>
      <w:rFonts w:ascii="Tahoma" w:hAnsi="Tahoma" w:cs="Tahoma"/>
      <w:sz w:val="16"/>
      <w:szCs w:val="16"/>
    </w:rPr>
  </w:style>
  <w:style w:type="character" w:customStyle="1" w:styleId="a">
    <w:name w:val="Текст выноски Знак"/>
    <w:basedOn w:val="DefaultParagraphFont"/>
    <w:link w:val="BalloonText"/>
    <w:uiPriority w:val="99"/>
    <w:semiHidden/>
    <w:rsid w:val="003247C8"/>
    <w:rPr>
      <w:rFonts w:ascii="Tahoma" w:hAnsi="Tahoma" w:cs="Tahoma"/>
      <w:sz w:val="16"/>
      <w:szCs w:val="16"/>
    </w:rPr>
  </w:style>
  <w:style w:type="paragraph" w:styleId="Header">
    <w:name w:val="header"/>
    <w:basedOn w:val="Normal"/>
    <w:link w:val="a0"/>
    <w:uiPriority w:val="99"/>
    <w:unhideWhenUsed/>
    <w:rsid w:val="00C07F35"/>
    <w:pPr>
      <w:tabs>
        <w:tab w:val="center" w:pos="4677"/>
        <w:tab w:val="right" w:pos="9355"/>
      </w:tabs>
      <w:spacing w:after="0" w:line="240" w:lineRule="auto"/>
    </w:pPr>
  </w:style>
  <w:style w:type="character" w:customStyle="1" w:styleId="a0">
    <w:name w:val="Верхний колонтитул Знак"/>
    <w:basedOn w:val="DefaultParagraphFont"/>
    <w:link w:val="Header"/>
    <w:uiPriority w:val="99"/>
    <w:rsid w:val="00C07F35"/>
  </w:style>
  <w:style w:type="paragraph" w:styleId="Footer">
    <w:name w:val="footer"/>
    <w:basedOn w:val="Normal"/>
    <w:link w:val="a1"/>
    <w:uiPriority w:val="99"/>
    <w:unhideWhenUsed/>
    <w:rsid w:val="00C07F35"/>
    <w:pPr>
      <w:tabs>
        <w:tab w:val="center" w:pos="4677"/>
        <w:tab w:val="right" w:pos="9355"/>
      </w:tabs>
      <w:spacing w:after="0" w:line="240" w:lineRule="auto"/>
    </w:pPr>
  </w:style>
  <w:style w:type="character" w:customStyle="1" w:styleId="a1">
    <w:name w:val="Нижний колонтитул Знак"/>
    <w:basedOn w:val="DefaultParagraphFont"/>
    <w:link w:val="Footer"/>
    <w:uiPriority w:val="99"/>
    <w:rsid w:val="00C07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41E7B-D50E-4552-81BD-AD7CC5C49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2335</Words>
  <Characters>13316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Keiko</Company>
  <LinksUpToDate>false</LinksUpToDate>
  <CharactersWithSpaces>15620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ePRK.Storage</dc:creator>
  <cp:lastModifiedBy>ePRK.Storage</cp:lastModifiedBy>
  <cp:revision>15</cp:revision>
</cp:coreProperties>
</file>