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E19C0" w:rsidRPr="00EA6F07" w:rsidP="004E19C0">
      <w:pPr>
        <w:spacing w:after="0" w:line="240" w:lineRule="auto"/>
        <w:jc w:val="right"/>
        <w:rPr>
          <w:rFonts w:ascii="Arial" w:eastAsia="Calibri" w:hAnsi="Arial" w:cs="Arial"/>
          <w:bCs/>
          <w:i/>
        </w:rPr>
      </w:pPr>
      <w:r w:rsidRPr="00EA6F07">
        <w:rPr>
          <w:rFonts w:ascii="Arial" w:eastAsia="Calibri" w:hAnsi="Arial" w:cs="Arial"/>
          <w:bCs/>
          <w:i/>
        </w:rPr>
        <w:t>«</w:t>
      </w:r>
      <w:r w:rsidRPr="00DA269C" w:rsidR="00DA269C">
        <w:rPr>
          <w:rFonts w:ascii="Arial" w:eastAsia="Calibri" w:hAnsi="Arial" w:cs="Arial"/>
          <w:bCs/>
          <w:i/>
        </w:rPr>
        <w:t>Қазақстан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Республикасының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кейбір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заңнамалық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актілеріне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азаматтық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процестік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заңнаманы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жетілдіру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және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дауларды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соттан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тыс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және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сотқа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дейінгі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реттеу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институттарын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дамыту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мәселелері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бойынша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өзгерістер</w:t>
      </w:r>
      <w:r w:rsidRPr="00DA269C" w:rsidR="00DA269C">
        <w:rPr>
          <w:rFonts w:ascii="Arial" w:eastAsia="Calibri" w:hAnsi="Arial" w:cs="Arial"/>
          <w:bCs/>
          <w:i/>
        </w:rPr>
        <w:t xml:space="preserve"> мен </w:t>
      </w:r>
      <w:r w:rsidRPr="00DA269C" w:rsidR="00DA269C">
        <w:rPr>
          <w:rFonts w:ascii="Arial" w:eastAsia="Calibri" w:hAnsi="Arial" w:cs="Arial"/>
          <w:bCs/>
          <w:i/>
        </w:rPr>
        <w:t>толықтырулар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енгізу</w:t>
      </w:r>
      <w:r w:rsidRPr="00DA269C" w:rsidR="00DA269C">
        <w:rPr>
          <w:rFonts w:ascii="Arial" w:eastAsia="Calibri" w:hAnsi="Arial" w:cs="Arial"/>
          <w:bCs/>
          <w:i/>
        </w:rPr>
        <w:t xml:space="preserve"> </w:t>
      </w:r>
      <w:r w:rsidRPr="00DA269C" w:rsidR="00DA269C">
        <w:rPr>
          <w:rFonts w:ascii="Arial" w:eastAsia="Calibri" w:hAnsi="Arial" w:cs="Arial"/>
          <w:bCs/>
          <w:i/>
        </w:rPr>
        <w:t>туралы</w:t>
      </w:r>
      <w:r w:rsidRPr="00EA6F07">
        <w:rPr>
          <w:rFonts w:ascii="Arial" w:eastAsia="Calibri" w:hAnsi="Arial" w:cs="Arial"/>
          <w:bCs/>
          <w:i/>
        </w:rPr>
        <w:t xml:space="preserve">» </w:t>
      </w:r>
      <w:r w:rsidRPr="00EA6F07">
        <w:rPr>
          <w:rFonts w:ascii="Arial" w:eastAsia="Calibri" w:hAnsi="Arial" w:cs="Arial"/>
          <w:bCs/>
          <w:i/>
        </w:rPr>
        <w:t>Қазақстан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Республикасы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Заңының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жобасы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бойынша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комитеттің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отырысына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қосымша</w:t>
      </w:r>
      <w:r w:rsidRPr="00EA6F07">
        <w:rPr>
          <w:rFonts w:ascii="Arial" w:eastAsia="Calibri" w:hAnsi="Arial" w:cs="Arial"/>
          <w:bCs/>
          <w:i/>
        </w:rPr>
        <w:t xml:space="preserve"> </w:t>
      </w:r>
      <w:r w:rsidRPr="00EA6F07">
        <w:rPr>
          <w:rFonts w:ascii="Arial" w:eastAsia="Calibri" w:hAnsi="Arial" w:cs="Arial"/>
          <w:bCs/>
          <w:i/>
        </w:rPr>
        <w:t>баяндама</w:t>
      </w:r>
    </w:p>
    <w:p w:rsidR="00C54F13" w:rsidP="004E19C0">
      <w:pPr>
        <w:spacing w:after="0" w:line="240" w:lineRule="auto"/>
        <w:jc w:val="right"/>
        <w:rPr>
          <w:rFonts w:ascii="Arial" w:eastAsia="Calibri" w:hAnsi="Arial" w:cs="Arial"/>
          <w:b/>
          <w:bCs/>
          <w:i/>
        </w:rPr>
      </w:pPr>
      <w:r w:rsidRPr="00EA6F07">
        <w:rPr>
          <w:rFonts w:ascii="Arial" w:eastAsia="Calibri" w:hAnsi="Arial" w:cs="Arial"/>
          <w:b/>
          <w:bCs/>
          <w:i/>
        </w:rPr>
        <w:t>(</w:t>
      </w:r>
      <w:r>
        <w:rPr>
          <w:rFonts w:ascii="Arial" w:eastAsia="Calibri" w:hAnsi="Arial" w:cs="Arial"/>
          <w:b/>
          <w:bCs/>
          <w:i/>
          <w:lang w:val="kk-KZ"/>
        </w:rPr>
        <w:t>Кеңейтілген к</w:t>
      </w:r>
      <w:r w:rsidRPr="00EA6F07">
        <w:rPr>
          <w:rFonts w:ascii="Arial" w:eastAsia="Calibri" w:hAnsi="Arial" w:cs="Arial"/>
          <w:b/>
          <w:bCs/>
          <w:i/>
        </w:rPr>
        <w:t>омитет</w:t>
      </w:r>
      <w:r w:rsidRPr="00EA6F07">
        <w:rPr>
          <w:rFonts w:ascii="Arial" w:eastAsia="Calibri" w:hAnsi="Arial" w:cs="Arial"/>
          <w:b/>
          <w:bCs/>
          <w:i/>
        </w:rPr>
        <w:t xml:space="preserve"> </w:t>
      </w:r>
      <w:r w:rsidRPr="00EA6F07">
        <w:rPr>
          <w:rFonts w:ascii="Arial" w:eastAsia="Calibri" w:hAnsi="Arial" w:cs="Arial"/>
          <w:b/>
          <w:bCs/>
          <w:i/>
        </w:rPr>
        <w:t>отырысына</w:t>
      </w:r>
      <w:r w:rsidRPr="00EA6F07">
        <w:rPr>
          <w:rFonts w:ascii="Arial" w:eastAsia="Calibri" w:hAnsi="Arial" w:cs="Arial"/>
          <w:b/>
          <w:bCs/>
          <w:i/>
        </w:rPr>
        <w:t xml:space="preserve"> </w:t>
      </w:r>
      <w:r w:rsidRPr="00EA6F07">
        <w:rPr>
          <w:rFonts w:ascii="Arial" w:eastAsia="Calibri" w:hAnsi="Arial" w:cs="Arial"/>
          <w:b/>
          <w:bCs/>
          <w:i/>
        </w:rPr>
        <w:t>қосымша</w:t>
      </w:r>
      <w:r w:rsidRPr="00EA6F07">
        <w:rPr>
          <w:rFonts w:ascii="Arial" w:eastAsia="Calibri" w:hAnsi="Arial" w:cs="Arial"/>
          <w:b/>
          <w:bCs/>
          <w:i/>
        </w:rPr>
        <w:t xml:space="preserve"> </w:t>
      </w:r>
      <w:r w:rsidRPr="00EA6F07">
        <w:rPr>
          <w:rFonts w:ascii="Arial" w:eastAsia="Calibri" w:hAnsi="Arial" w:cs="Arial"/>
          <w:b/>
          <w:bCs/>
          <w:i/>
        </w:rPr>
        <w:t>баяндама</w:t>
      </w:r>
      <w:r w:rsidRPr="00EA6F07">
        <w:rPr>
          <w:rFonts w:ascii="Arial" w:eastAsia="Calibri" w:hAnsi="Arial" w:cs="Arial"/>
          <w:b/>
          <w:bCs/>
          <w:i/>
        </w:rPr>
        <w:t xml:space="preserve"> </w:t>
      </w:r>
    </w:p>
    <w:p w:rsidR="004E19C0" w:rsidRPr="00EA6F07" w:rsidP="004E19C0">
      <w:pPr>
        <w:spacing w:after="0" w:line="240" w:lineRule="auto"/>
        <w:jc w:val="right"/>
        <w:rPr>
          <w:rFonts w:ascii="Arial" w:eastAsia="Calibri" w:hAnsi="Arial" w:cs="Arial"/>
          <w:b/>
          <w:bCs/>
          <w:i/>
        </w:rPr>
      </w:pPr>
      <w:r w:rsidRPr="00EA6F07">
        <w:rPr>
          <w:rFonts w:ascii="Arial" w:eastAsia="Calibri" w:hAnsi="Arial" w:cs="Arial"/>
          <w:b/>
          <w:bCs/>
          <w:i/>
        </w:rPr>
        <w:t>7.12.2021 ж.</w:t>
      </w:r>
      <w:r w:rsidR="00C54F13">
        <w:rPr>
          <w:rFonts w:ascii="Arial" w:eastAsia="Calibri" w:hAnsi="Arial" w:cs="Arial"/>
          <w:b/>
          <w:bCs/>
          <w:i/>
          <w:lang w:val="kk-KZ"/>
        </w:rPr>
        <w:t xml:space="preserve"> сағат 15:30-да 307- кабинетінде</w:t>
      </w:r>
      <w:r w:rsidRPr="00EA6F07">
        <w:rPr>
          <w:rFonts w:ascii="Arial" w:eastAsia="Calibri" w:hAnsi="Arial" w:cs="Arial"/>
          <w:b/>
          <w:bCs/>
          <w:i/>
        </w:rPr>
        <w:t>)</w:t>
      </w:r>
    </w:p>
    <w:p w:rsidR="004F45D0" w:rsidRPr="007A6029" w:rsidP="007A6029">
      <w:pPr>
        <w:spacing w:after="0" w:line="360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4E19C0" w:rsidRPr="004E19C0" w:rsidP="004E19C0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</w:pP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Құрметті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 xml:space="preserve"> 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Төраға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!</w:t>
      </w:r>
    </w:p>
    <w:p w:rsidR="003266AF" w:rsidP="004E19C0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</w:pP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Құрметті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 xml:space="preserve"> 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әріптестер</w:t>
      </w:r>
      <w:r w:rsidRPr="004E19C0"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  <w:t>!</w:t>
      </w:r>
    </w:p>
    <w:p w:rsidR="004E19C0" w:rsidP="004E19C0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32"/>
          <w:szCs w:val="32"/>
          <w:shd w:val="clear" w:color="auto" w:fill="FFFFFF"/>
          <w:lang w:eastAsia="ja-JP"/>
        </w:rPr>
      </w:pPr>
    </w:p>
    <w:p w:rsidR="004E19C0" w:rsidRPr="007A6029" w:rsidP="004E19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269C" w:rsidP="007A602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>Қазақстан Республикасының кейбір заңнамалық актілеріне азаматтық процестік заңнаманы жетілдіру және дауларды соттан тыс және сотқа дейінгі реттеу институттарын дамыту мәселелері бойынша өзгерістер мен толықтырулар енгізу туралы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» Заң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жобасы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ның тұжырымдамасы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қарасытырылып жатыр.</w:t>
      </w:r>
    </w:p>
    <w:p w:rsidR="004E19C0" w:rsidRPr="00DA269C" w:rsidP="007A602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Негізгі баяндамаш</w:t>
      </w:r>
      <w:r w:rsidR="00AB49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ы Сенат депутаты 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>Ләззат Жаңылысқызы Сүлеймен өз баяндамасында қаралып жатқан заң жобасының (бұдан әрі – заң жобасы) тұжырымдамалық жа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ңашылықтар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туралы </w:t>
      </w:r>
      <w:r w:rsidRPr="00DA269C" w:rsidR="002F1568">
        <w:rPr>
          <w:rFonts w:ascii="Arial" w:eastAsia="Times New Roman" w:hAnsi="Arial" w:cs="Arial"/>
          <w:sz w:val="32"/>
          <w:szCs w:val="32"/>
          <w:lang w:val="kk-KZ" w:eastAsia="ru-RU"/>
        </w:rPr>
        <w:t>толы</w:t>
      </w:r>
      <w:r w:rsidR="002F1568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DA269C" w:rsidR="002F156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тай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баяндап</w:t>
      </w:r>
      <w:r w:rsidRPr="00DA269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берді.</w:t>
      </w:r>
    </w:p>
    <w:p w:rsidR="00467D47" w:rsidP="00467D4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Баяндама айтылғандай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З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аң жобасы</w:t>
      </w:r>
      <w:r w:rsid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медиация институтын дамытуға, яғни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дауларды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шеш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удің соттан тыс тәртібін дамытуға,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оның ішінде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татуластыру рәсімдерін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жан-жақты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қолдану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мақсатында әзірленген</w:t>
      </w:r>
      <w:r w:rsidRPr="00E6368B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AD1CB3" w:rsidP="00AD1CB3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Уважаемые коллеги!</w:t>
      </w:r>
    </w:p>
    <w:p w:rsidR="00AD1CB3" w:rsidP="00AD1CB3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Положения законопроекта предусматривают широкое применение примирительных процедур и альтернативных способов разрешения споров. Четкая регламентация </w:t>
      </w:r>
      <w:r>
        <w:rPr>
          <w:rFonts w:ascii="Arial" w:hAnsi="Arial" w:cs="Arial"/>
          <w:sz w:val="32"/>
          <w:szCs w:val="32"/>
        </w:rPr>
        <w:t>указанных процедур, закрепляет возможности проведения медиации судьей, адвокатом и нотариусом.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Введение нового способа примирения - будут стимулировать стороны к самостоятельному разрешению спора, что будет способствовать уменьшению нагрузки в судах. 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Важным новшеством является, что в гражданский процессуальный кодекс вводится новый институт «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досудебный</w:t>
      </w:r>
      <w:r>
        <w:rPr>
          <w:rFonts w:ascii="Arial" w:hAnsi="Arial" w:cs="Arial"/>
          <w:sz w:val="32"/>
          <w:szCs w:val="32"/>
        </w:rPr>
        <w:t xml:space="preserve"> протокол», который позволит сторонам оценить шансы на успех в суде и в зависимости от этого использовать возможность урегулирования спора в досудебном порядке.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предлагаемом </w:t>
      </w:r>
      <w:r>
        <w:rPr>
          <w:rFonts w:ascii="Arial" w:hAnsi="Arial" w:cs="Arial"/>
          <w:sz w:val="32"/>
          <w:szCs w:val="32"/>
        </w:rPr>
        <w:t>в изменений</w:t>
      </w:r>
      <w:r>
        <w:rPr>
          <w:rFonts w:ascii="Arial" w:hAnsi="Arial" w:cs="Arial"/>
          <w:sz w:val="32"/>
          <w:szCs w:val="32"/>
        </w:rPr>
        <w:t xml:space="preserve"> Кодекса дела об усыновлении предлагается рассматривать в закрытом судебном заседаний. 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кодекс включаются новые статьи определяющий подсудность гражданских дел областного и приравненного к нему суда и гражданского дела Верховному Суду, исключается заочное производства и вводится ряд других поправок. В целях расширения возможности применения медиации предлагаются поправки направленные на развитие онлайн-медиации и внедрение элементов цифровизации в процедуру медиации. 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законопроектом предлагается предоставление права вышестоящему суду принимать в свое производство одно из однородных (схожих по предмету и основаниям иска, по субъектному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составу</w:t>
      </w:r>
      <w:r>
        <w:rPr>
          <w:rFonts w:ascii="Arial" w:hAnsi="Arial" w:cs="Arial"/>
          <w:sz w:val="32"/>
          <w:szCs w:val="32"/>
        </w:rPr>
        <w:t xml:space="preserve">) дел, рассмотреть их в образцовом </w:t>
      </w:r>
      <w:r>
        <w:rPr>
          <w:rFonts w:ascii="Arial" w:hAnsi="Arial" w:cs="Arial"/>
          <w:sz w:val="32"/>
          <w:szCs w:val="32"/>
        </w:rPr>
        <w:t xml:space="preserve">судебном разбирательстве и выносить по ним решения. Данное новшество позволит судьям в дальнейшем использовать их в качестве образца и обеспечит единообразное применение судебной практики, повысит качество судебных актов. 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Законопроектом</w:t>
      </w:r>
      <w:r>
        <w:rPr>
          <w:rFonts w:ascii="Arial" w:hAnsi="Arial" w:cs="Arial"/>
          <w:sz w:val="32"/>
          <w:szCs w:val="32"/>
        </w:rPr>
        <w:t xml:space="preserve"> сторонам предоставляется право выбора экстерриториальной подсудности посредством автоматизированной информационной системы, которая будет определять менее загруженный суд. Эта норма инициирована в интересах сторон, в ряде случаев позволит им сократить временные и материальные затраты. </w:t>
      </w:r>
    </w:p>
    <w:p w:rsidR="00AD1CB3" w:rsidP="00AD1CB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целом, принятие законопроекта расширит сферу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применения</w:t>
      </w:r>
      <w:r>
        <w:rPr>
          <w:rFonts w:ascii="Arial" w:hAnsi="Arial" w:cs="Arial"/>
          <w:sz w:val="32"/>
          <w:szCs w:val="32"/>
        </w:rPr>
        <w:t xml:space="preserve"> примирительных процедур и медиации, что в итоге позволит оптимизировать судебные расходы граждан, повысит доверие к институту внесудебного урегулирования споров.</w:t>
      </w:r>
    </w:p>
    <w:p w:rsidR="00AD1CB3" w:rsidRPr="00AD1CB3" w:rsidP="00467D4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</w:p>
    <w:p w:rsidR="00381B1D" w:rsidP="00241B4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Заң жобасы азаматтардың сот шығындарын азайтуға, сондай-ақ дауды соттан тыс реттеуге</w:t>
      </w:r>
      <w:r w:rsidR="002F1568">
        <w:rPr>
          <w:rFonts w:ascii="Arial" w:eastAsia="Times New Roman" w:hAnsi="Arial" w:cs="Arial"/>
          <w:sz w:val="32"/>
          <w:szCs w:val="32"/>
          <w:lang w:val="kk-KZ" w:eastAsia="ru-RU"/>
        </w:rPr>
        <w:t>, халықты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осы маңызды іске</w:t>
      </w:r>
      <w:r w:rsidR="002F156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неғұрлым белсенді тартуға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бағытталған</w:t>
      </w:r>
      <w:r w:rsidR="002F1568">
        <w:rPr>
          <w:rFonts w:ascii="Arial" w:eastAsia="Times New Roman" w:hAnsi="Arial" w:cs="Arial"/>
          <w:sz w:val="32"/>
          <w:szCs w:val="32"/>
          <w:lang w:val="kk-KZ" w:eastAsia="ru-RU"/>
        </w:rPr>
        <w:t>. Заң жобасы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«Н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еке және отбасы туралы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="00AB49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ҚР Кодексіне, </w:t>
      </w:r>
      <w:r w:rsidRPr="00AB490A" w:rsidR="00AB490A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Азаматтық іс жүргізу</w:t>
      </w:r>
      <w:r w:rsidR="00AB490A">
        <w:rPr>
          <w:rFonts w:ascii="Arial" w:eastAsia="Times New Roman" w:hAnsi="Arial" w:cs="Arial"/>
          <w:sz w:val="32"/>
          <w:szCs w:val="32"/>
          <w:lang w:val="kk-KZ" w:eastAsia="ru-RU"/>
        </w:rPr>
        <w:t>» ҚР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кодексіне, 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Нотариат туралы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="00AB49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ҚР Заңына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Қазақстан Республикасындағы жергілікті мемлекеттік басқа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ру және өзін-өзі басқару туралы»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«А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тқарушылық іс жүргізу және сот орындаушыларының мәртебесі туралы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</w:t>
      </w:r>
      <w:r w:rsidR="00874F5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«Медиация туралы» </w:t>
      </w:r>
      <w:r w:rsidRPr="00692AB9">
        <w:rPr>
          <w:rFonts w:ascii="Arial" w:eastAsia="Times New Roman" w:hAnsi="Arial" w:cs="Arial"/>
          <w:sz w:val="32"/>
          <w:szCs w:val="32"/>
          <w:lang w:val="kk-KZ" w:eastAsia="ru-RU"/>
        </w:rPr>
        <w:t>ҚР заңдарына түзетулер енгізуді көздейді.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Заң жобасының ережелері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татуластыру рәсімдерін және дауларды шешудің баламалы әдістерін кеңінен қолдануды көздейді.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Осы рәсімдерді нақты реттеу, судьяның, адвокаттың, нотариустың медиацияны жүзеге асыру мүмкіндігін қамтамасыз ету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арқылы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сот талқылауының жаңа тәсілін – партисипативтік рәсімді қолдау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нәтижесінде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тараптарды дауларды өз беті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нше шешуге ынталандырады. Бұл с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отардағы жүктемені азайтуға ықпал етеді.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Азаматтық процеске </w:t>
      </w:r>
      <w:r w:rsidRPr="00FD65A5" w:rsidR="00FD65A5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сотқа дейінгі хаттама» сияқты жаңа институт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енгізілуде. Ол тараптарға сотта табысқа жету мүмкіндіктерін бағалауға және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сот шешімін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асыруға байланысты дауды соттан тыс және басқа да бірқатар тәртіппен шешу мүмкіндігін пайдалануға 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жағдай жасалады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Заң жобасы тараптарға енгізу көп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жүктелген сотты анықтайтын автоматтандырылған ақпаратты жүйе арқылы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экстерриториалдық юрисдикцияны таңдау құқығын береді.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Тұтастай алғанда, Заң жобасын қабылдау бітімгершілік рәсімдері мен медиацияны қолдану аясын кеңейтеді. Бұл сайып келгенде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 жоғарыда айтылғандай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азаматтардың сот шығындарын оңтайландыруға, дауларды соттан тыс реттеу институты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на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деген сенімді арттыруға мүмкіндік береді.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Заң жобасында жоғары тұрған сотқа біртектес істердің бірін өз өндірісіне енгізіп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оларды үлгілі сот талқылауында қарау және олар бойынша шешім қабылдау құқығын беру ұсынылады.</w:t>
      </w:r>
    </w:p>
    <w:p w:rsidR="00381B1D" w:rsidRPr="00381B1D" w:rsidP="00381B1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Б</w:t>
      </w:r>
      <w:r w:rsidR="00FD65A5">
        <w:rPr>
          <w:rFonts w:ascii="Arial" w:eastAsia="Times New Roman" w:hAnsi="Arial" w:cs="Arial"/>
          <w:sz w:val="32"/>
          <w:szCs w:val="32"/>
          <w:lang w:val="kk-KZ" w:eastAsia="ru-RU"/>
        </w:rPr>
        <w:t>ұл норма судьяларға оларды болаш</w:t>
      </w: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>ақта үлгі ретінде пайдалануға мүмкіндік береді және сот тәжірбиесін біркелкі қолдануды қамтамасыз етеді, сот актілерінің сапасын арттырып, уақытын үнемдейді.</w:t>
      </w:r>
    </w:p>
    <w:p w:rsidR="00F16B60" w:rsidP="00F16B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81B1D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Жекелеген тузетулер медиацияны жур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гі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зу 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тәртібі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мен т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әсілін 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жет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ілдір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уге, медиация тараптарынь</w:t>
      </w:r>
      <w:r w:rsidR="008F4768">
        <w:rPr>
          <w:rFonts w:ascii="Arial" w:eastAsia="Times New Roman" w:hAnsi="Arial" w:cs="Arial"/>
          <w:sz w:val="32"/>
          <w:szCs w:val="32"/>
          <w:lang w:val="kk-KZ" w:eastAsia="ru-RU"/>
        </w:rPr>
        <w:t>ң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құқ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 w:rsidR="003566FA">
        <w:rPr>
          <w:rFonts w:ascii="Arial" w:eastAsia="Times New Roman" w:hAnsi="Arial" w:cs="Arial"/>
          <w:sz w:val="32"/>
          <w:szCs w:val="32"/>
          <w:lang w:val="kk-KZ" w:eastAsia="ru-RU"/>
        </w:rPr>
        <w:t>тары мен мін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деттер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ін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тылау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ғ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а,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медиация туралы шартт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ың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нысаны мен мазм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ұ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нына, сондай-а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медиаторлар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йымыны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ң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функцияларын ай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ындау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ғ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а ба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ғ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ытталган.</w:t>
      </w:r>
    </w:p>
    <w:p w:rsidR="00F16B60" w:rsidP="00F16B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За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ң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жобасы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т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epic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ә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леумет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тік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, экономикалы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ә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не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құқық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ты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салдар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ғ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а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ә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кеп со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пайды, мемлекет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ік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бюджеттен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осымша 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C904A6">
        <w:rPr>
          <w:rFonts w:ascii="Arial" w:eastAsia="Times New Roman" w:hAnsi="Arial" w:cs="Arial"/>
          <w:sz w:val="32"/>
          <w:szCs w:val="32"/>
          <w:lang w:val="kk-KZ" w:eastAsia="ru-RU"/>
        </w:rPr>
        <w:t>аржыны талап етпейд</w:t>
      </w:r>
      <w:r w:rsidR="003566FA">
        <w:rPr>
          <w:rFonts w:ascii="Arial" w:eastAsia="Times New Roman" w:hAnsi="Arial" w:cs="Arial"/>
          <w:sz w:val="32"/>
          <w:szCs w:val="32"/>
          <w:lang w:val="kk-KZ" w:eastAsia="ru-RU"/>
        </w:rPr>
        <w:t>і.</w:t>
      </w:r>
    </w:p>
    <w:p w:rsidR="00241B4B" w:rsidRPr="003566FA" w:rsidP="00F16B6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Заң жобасы бойынша 2-рет жұмыс тобының отырысы өткізілді, онда барлық сұрақтарға жауаптар алынды.</w:t>
      </w:r>
    </w:p>
    <w:p w:rsidR="004E6B01" w:rsidRPr="003F3285" w:rsidP="003F328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>Заң жобасы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ның </w:t>
      </w:r>
      <w:r w:rsidRPr="0036387E">
        <w:rPr>
          <w:rFonts w:ascii="Arial" w:eastAsia="Times New Roman" w:hAnsi="Arial" w:cs="Arial"/>
          <w:sz w:val="32"/>
          <w:szCs w:val="32"/>
          <w:lang w:val="kk-KZ" w:eastAsia="ru-RU"/>
        </w:rPr>
        <w:t>тұжырымдамасы</w:t>
      </w: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бойынша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>Сенаттың тұрақты комитеттері Заң жоба</w:t>
      </w:r>
      <w:r w:rsidR="00241B4B">
        <w:rPr>
          <w:rFonts w:ascii="Arial" w:eastAsia="Times New Roman" w:hAnsi="Arial" w:cs="Arial"/>
          <w:sz w:val="32"/>
          <w:szCs w:val="32"/>
          <w:lang w:val="kk-KZ" w:eastAsia="ru-RU"/>
        </w:rPr>
        <w:t>с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ына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оң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қор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ы</w:t>
      </w: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тындыларын берді. Ескертулер мен ұсыныстар келіп түскен жоқ. </w:t>
      </w:r>
    </w:p>
    <w:p w:rsidR="004E6B01" w:rsidRPr="003F3285" w:rsidP="003F328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F3285">
        <w:rPr>
          <w:rFonts w:ascii="Arial" w:eastAsia="Times New Roman" w:hAnsi="Arial" w:cs="Arial"/>
          <w:sz w:val="32"/>
          <w:szCs w:val="32"/>
          <w:lang w:val="kk-KZ" w:eastAsia="ru-RU"/>
        </w:rPr>
        <w:t>Осы айтылғанды ескере келе, құрметті әріптестер, Заң жобасын Сенаттың отырысында қарауға шығаруды ұсынамын.</w:t>
      </w:r>
    </w:p>
    <w:p w:rsidR="004E6B01" w:rsidRPr="00E6368B" w:rsidP="003F3285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sz w:val="36"/>
          <w:szCs w:val="36"/>
          <w:lang w:val="kk-KZ" w:eastAsia="ru-RU"/>
        </w:rPr>
      </w:pPr>
      <w:r w:rsidRPr="00E6368B">
        <w:rPr>
          <w:rFonts w:ascii="Arial" w:eastAsia="Times New Roman" w:hAnsi="Arial" w:cs="Arial"/>
          <w:b/>
          <w:sz w:val="36"/>
          <w:szCs w:val="36"/>
          <w:lang w:val="kk-KZ" w:eastAsia="ru-RU"/>
        </w:rPr>
        <w:t>Назарларыңызға Рақмет!</w:t>
      </w:r>
    </w:p>
    <w:p w:rsidR="007A6029" w:rsidRPr="003566FA" w:rsidP="00B8408A">
      <w:pPr>
        <w:spacing w:after="0" w:line="360" w:lineRule="auto"/>
        <w:ind w:firstLine="851"/>
        <w:jc w:val="both"/>
        <w:rPr>
          <w:rFonts w:ascii="Arial" w:eastAsia="Calibri" w:hAnsi="Arial" w:cs="Arial"/>
          <w:sz w:val="32"/>
          <w:szCs w:val="32"/>
          <w:lang w:val="kk-KZ" w:eastAsia="ru-RU"/>
        </w:rPr>
      </w:pPr>
      <w:r w:rsidRPr="003566F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511521" w:rsidRPr="004F45D0" w:rsidP="007A6029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Sect="00DC6C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C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80915208"/>
      <w:docPartObj>
        <w:docPartGallery w:val="Page Numbers (Top of Page)"/>
        <w:docPartUnique/>
      </w:docPartObj>
    </w:sdtPr>
    <w:sdtContent>
      <w:p w:rsidR="00DC6CA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B3">
          <w:rPr>
            <w:noProof/>
          </w:rPr>
          <w:t>2</w:t>
        </w:r>
        <w:r>
          <w:fldChar w:fldCharType="end"/>
        </w:r>
      </w:p>
    </w:sdtContent>
  </w:sdt>
  <w:p w:rsidR="00DC6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C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C6CAF"/>
  </w:style>
  <w:style w:type="paragraph" w:styleId="Footer">
    <w:name w:val="footer"/>
    <w:basedOn w:val="Normal"/>
    <w:link w:val="a0"/>
    <w:uiPriority w:val="99"/>
    <w:unhideWhenUsed/>
    <w:rsid w:val="00DC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C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658B-E5A0-422E-A481-FC052C1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34</cp:revision>
</cp:coreProperties>
</file>