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780"/>
      </w:tblGrid>
      <w:tr w:rsidTr="00564863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780" w:type="dxa"/>
            <w:shd w:val="clear" w:color="auto" w:fill="auto"/>
          </w:tcPr>
          <w:p w:rsidR="00564863" w:rsidRPr="00564863" w:rsidP="00502405">
            <w:pPr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19.01.2023-ғы № 16-13-63Д/С шығыс хаты</w:t>
            </w:r>
          </w:p>
        </w:tc>
      </w:tr>
    </w:tbl>
    <w:p w:rsidR="00D3724B" w:rsidP="00502405">
      <w:pPr>
        <w:ind w:hanging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77000" cy="2806700"/>
            <wp:effectExtent l="0" t="0" r="0" b="0"/>
            <wp:wrapNone/>
            <wp:docPr id="2" name="Рисунок 2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24B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24B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724B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49AC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E09" w:rsidP="00951E09">
      <w:pPr>
        <w:spacing w:after="0" w:line="240" w:lineRule="auto"/>
        <w:ind w:left="4678" w:right="-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E09" w:rsidRPr="0035072B" w:rsidP="00951E09">
      <w:pPr>
        <w:spacing w:after="0" w:line="240" w:lineRule="auto"/>
        <w:ind w:left="4678" w:right="-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Қазақстан Республикасының</w:t>
      </w:r>
    </w:p>
    <w:p w:rsidR="00951E09" w:rsidRPr="0035072B" w:rsidP="00951E09">
      <w:pPr>
        <w:spacing w:after="0" w:line="240" w:lineRule="auto"/>
        <w:ind w:left="4678" w:right="-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 - Министрі</w:t>
      </w:r>
    </w:p>
    <w:p w:rsidR="00951E09" w:rsidRPr="0035072B" w:rsidP="00951E09">
      <w:pPr>
        <w:spacing w:after="0" w:line="240" w:lineRule="auto"/>
        <w:ind w:left="4678" w:firstLine="567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072B">
        <w:rPr>
          <w:rFonts w:ascii="Times New Roman" w:hAnsi="Times New Roman" w:cs="Times New Roman"/>
          <w:b/>
          <w:sz w:val="28"/>
          <w:szCs w:val="28"/>
          <w:lang w:val="kk-KZ"/>
        </w:rPr>
        <w:t>Ә.А. СМАЙЫЛОВҚА</w:t>
      </w:r>
    </w:p>
    <w:p w:rsidR="00951E09" w:rsidP="00951E09">
      <w:pPr>
        <w:spacing w:after="0" w:line="240" w:lineRule="auto"/>
        <w:ind w:left="4678" w:hanging="17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1E09" w:rsidP="00951E09">
      <w:pPr>
        <w:spacing w:after="0" w:line="240" w:lineRule="auto"/>
        <w:ind w:left="4678" w:hanging="17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016E7" w:rsidP="00951E09">
      <w:pPr>
        <w:spacing w:after="0" w:line="240" w:lineRule="auto"/>
        <w:ind w:left="4678" w:hanging="170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072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Әлихан Асханұлы!</w:t>
      </w:r>
    </w:p>
    <w:p w:rsidR="005016E7" w:rsidP="005016E7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93A" w:rsidP="005024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</w:t>
      </w:r>
      <w:r w:rsidRPr="006728A6" w:rsidR="005016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депутаттық сауалға</w:t>
      </w:r>
      <w:r w:rsidR="00F539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16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40D59" w:rsidR="00940D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автомобиль жолдарын, тротуарларды, жол өтпелерін, жаяу жүргіншілер және автомобиль көпірлерін салуға және реконструкциялауға,  жер жұмыстарының барлық түрлерін өндіруге маманданған Атырау облысының ірі салық төлеушісі </w:t>
      </w:r>
      <w:r w:rsidR="0034756A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940D59" w:rsidR="00940D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Атырау құрылыс </w:t>
      </w:r>
      <w:r w:rsidR="0034756A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940D59" w:rsidR="00940D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АИС</w:t>
      </w:r>
      <w:r w:rsidR="0034756A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940D59" w:rsidR="00940D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компаниясының өтініші себеп болды.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5F693A" w:rsidP="005024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6E7">
        <w:rPr>
          <w:rFonts w:ascii="Times New Roman" w:hAnsi="Times New Roman" w:cs="Times New Roman"/>
          <w:sz w:val="28"/>
          <w:szCs w:val="28"/>
          <w:lang w:val="kk-KZ"/>
        </w:rPr>
        <w:t>2022 жылғы 16 желтоқсанда Мемлекеттік сатып алу порталында Қазақстан Республикасы Қаржы мин</w:t>
      </w:r>
      <w:r w:rsidR="00940D59">
        <w:rPr>
          <w:rFonts w:ascii="Times New Roman" w:hAnsi="Times New Roman" w:cs="Times New Roman"/>
          <w:sz w:val="28"/>
          <w:szCs w:val="28"/>
          <w:lang w:val="kk-KZ"/>
        </w:rPr>
        <w:t>истрлігі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940D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016E7">
        <w:rPr>
          <w:rFonts w:ascii="Times New Roman" w:hAnsi="Times New Roman" w:cs="Times New Roman"/>
          <w:sz w:val="28"/>
          <w:szCs w:val="28"/>
          <w:lang w:val="kk-KZ"/>
        </w:rPr>
        <w:t>емлекеттік сатып алуд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016E7">
        <w:rPr>
          <w:rFonts w:ascii="Times New Roman" w:hAnsi="Times New Roman" w:cs="Times New Roman"/>
          <w:sz w:val="28"/>
          <w:szCs w:val="28"/>
          <w:lang w:val="kk-KZ"/>
        </w:rPr>
        <w:t xml:space="preserve"> қайта ұйымдастыру нәтижесінде </w:t>
      </w:r>
      <w:r w:rsidRPr="005016E7" w:rsidR="00343F79">
        <w:rPr>
          <w:rFonts w:ascii="Times New Roman" w:hAnsi="Times New Roman" w:cs="Times New Roman"/>
          <w:sz w:val="28"/>
          <w:szCs w:val="28"/>
          <w:lang w:val="kk-KZ"/>
        </w:rPr>
        <w:t xml:space="preserve">әлеуетті өнім </w:t>
      </w:r>
      <w:r w:rsidR="00343F79">
        <w:rPr>
          <w:rFonts w:ascii="Times New Roman" w:hAnsi="Times New Roman" w:cs="Times New Roman"/>
          <w:sz w:val="28"/>
          <w:szCs w:val="28"/>
          <w:lang w:val="kk-KZ"/>
        </w:rPr>
        <w:t>жеткіз</w:t>
      </w:r>
      <w:r w:rsidRPr="005016E7" w:rsidR="00343F79">
        <w:rPr>
          <w:rFonts w:ascii="Times New Roman" w:hAnsi="Times New Roman" w:cs="Times New Roman"/>
          <w:sz w:val="28"/>
          <w:szCs w:val="28"/>
          <w:lang w:val="kk-KZ"/>
        </w:rPr>
        <w:t xml:space="preserve">ушінің </w:t>
      </w:r>
      <w:r w:rsidRPr="000E09FD" w:rsidR="0034756A">
        <w:rPr>
          <w:rFonts w:ascii="Times New Roman" w:hAnsi="Times New Roman" w:cs="Times New Roman"/>
          <w:sz w:val="28"/>
          <w:szCs w:val="28"/>
          <w:lang w:val="kk-KZ"/>
        </w:rPr>
        <w:t>игерген</w:t>
      </w:r>
      <w:r w:rsidRPr="000E09FD">
        <w:rPr>
          <w:rFonts w:ascii="Times New Roman" w:hAnsi="Times New Roman" w:cs="Times New Roman"/>
          <w:sz w:val="28"/>
          <w:szCs w:val="28"/>
          <w:lang w:val="kk-KZ"/>
        </w:rPr>
        <w:t xml:space="preserve"> жұмыс тәжірибесі ескерілмейтіні</w:t>
      </w:r>
      <w:r w:rsidRPr="005016E7">
        <w:rPr>
          <w:rFonts w:ascii="Times New Roman" w:hAnsi="Times New Roman" w:cs="Times New Roman"/>
          <w:sz w:val="28"/>
          <w:szCs w:val="28"/>
          <w:lang w:val="kk-KZ"/>
        </w:rPr>
        <w:t xml:space="preserve"> туралы хабарландыру орналастырды.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F693A" w:rsidP="005024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398A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 w:rsidR="00F53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F5398A">
        <w:rPr>
          <w:rFonts w:ascii="Times New Roman" w:hAnsi="Times New Roman" w:cs="Times New Roman"/>
          <w:sz w:val="28"/>
          <w:szCs w:val="28"/>
          <w:lang w:val="kk-KZ"/>
        </w:rPr>
        <w:t>истр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ліг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 xml:space="preserve"> шешімі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Әділет министр</w:t>
      </w:r>
      <w:r w:rsidR="00F5398A">
        <w:rPr>
          <w:rFonts w:ascii="Times New Roman" w:hAnsi="Times New Roman" w:cs="Times New Roman"/>
          <w:sz w:val="28"/>
          <w:szCs w:val="28"/>
          <w:lang w:val="kk-KZ"/>
        </w:rPr>
        <w:t>лігінің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 xml:space="preserve"> хаты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 xml:space="preserve"> негізге алынғанына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 xml:space="preserve"> сілтеме жаса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 xml:space="preserve">лған. </w:t>
      </w:r>
      <w:r w:rsidRPr="00F5398A" w:rsidR="0034756A">
        <w:rPr>
          <w:rFonts w:ascii="Times New Roman" w:hAnsi="Times New Roman" w:cs="Times New Roman"/>
          <w:sz w:val="28"/>
          <w:szCs w:val="28"/>
          <w:lang w:val="kk-KZ"/>
        </w:rPr>
        <w:t xml:space="preserve">Алайда 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 w:rsidR="00F53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F5398A">
        <w:rPr>
          <w:rFonts w:ascii="Times New Roman" w:hAnsi="Times New Roman" w:cs="Times New Roman"/>
          <w:sz w:val="28"/>
          <w:szCs w:val="28"/>
          <w:lang w:val="kk-KZ"/>
        </w:rPr>
        <w:t>ист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рліг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>інің түсіндірмесі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398A" w:rsidR="0034756A">
        <w:rPr>
          <w:rFonts w:ascii="Times New Roman" w:hAnsi="Times New Roman" w:cs="Times New Roman"/>
          <w:sz w:val="28"/>
          <w:szCs w:val="28"/>
          <w:lang w:val="kk-KZ"/>
        </w:rPr>
        <w:t xml:space="preserve">талаптар 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>құжаттардың мазмұны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398A" w:rsidR="00343F79">
        <w:rPr>
          <w:rFonts w:ascii="Times New Roman" w:hAnsi="Times New Roman" w:cs="Times New Roman"/>
          <w:sz w:val="28"/>
          <w:szCs w:val="28"/>
          <w:lang w:val="kk-KZ"/>
        </w:rPr>
        <w:t xml:space="preserve">(беру актісі, бөлу балансы) </w:t>
      </w:r>
      <w:r w:rsidRPr="00F5398A">
        <w:rPr>
          <w:rFonts w:ascii="Times New Roman" w:hAnsi="Times New Roman" w:cs="Times New Roman"/>
          <w:sz w:val="28"/>
          <w:szCs w:val="28"/>
          <w:lang w:val="kk-KZ"/>
        </w:rPr>
        <w:t>ғана қатысты және жұмыс тәжірибесін есепке алу жә</w:t>
      </w:r>
      <w:r w:rsidR="00DD47D6">
        <w:rPr>
          <w:rFonts w:ascii="Times New Roman" w:hAnsi="Times New Roman" w:cs="Times New Roman"/>
          <w:sz w:val="28"/>
          <w:szCs w:val="28"/>
          <w:lang w:val="kk-KZ"/>
        </w:rPr>
        <w:t>не беру мәселе</w:t>
      </w:r>
      <w:r w:rsidR="00343F7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D47D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 xml:space="preserve"> туралы айтылмаған. </w:t>
      </w:r>
      <w:r w:rsidR="00343F79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Әділет министрлігінің</w:t>
      </w:r>
      <w:r w:rsidR="00DD4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398A" w:rsidR="00343F79">
        <w:rPr>
          <w:rFonts w:ascii="Times New Roman" w:hAnsi="Times New Roman" w:cs="Times New Roman"/>
          <w:sz w:val="28"/>
          <w:szCs w:val="28"/>
          <w:lang w:val="kk-KZ"/>
        </w:rPr>
        <w:t>түсіндірмесі</w:t>
      </w:r>
      <w:r w:rsidR="00343F79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Pr="00DD47D6">
        <w:rPr>
          <w:rFonts w:ascii="Times New Roman" w:hAnsi="Times New Roman" w:cs="Times New Roman"/>
          <w:sz w:val="28"/>
          <w:szCs w:val="28"/>
          <w:lang w:val="kk-KZ"/>
        </w:rPr>
        <w:t xml:space="preserve"> қайта құру нәтижесінде </w:t>
      </w:r>
      <w:r w:rsidR="00343F79">
        <w:rPr>
          <w:rFonts w:ascii="Times New Roman" w:hAnsi="Times New Roman" w:cs="Times New Roman"/>
          <w:sz w:val="28"/>
          <w:szCs w:val="28"/>
          <w:lang w:val="kk-KZ"/>
        </w:rPr>
        <w:t>игерге</w:t>
      </w:r>
      <w:r w:rsidRPr="00DD47D6">
        <w:rPr>
          <w:rFonts w:ascii="Times New Roman" w:hAnsi="Times New Roman" w:cs="Times New Roman"/>
          <w:sz w:val="28"/>
          <w:szCs w:val="28"/>
          <w:lang w:val="kk-KZ"/>
        </w:rPr>
        <w:t>н жұмыс тәжірибесін ескеруге тыйым салу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Pr="00DD47D6">
        <w:rPr>
          <w:rFonts w:ascii="Times New Roman" w:hAnsi="Times New Roman" w:cs="Times New Roman"/>
          <w:sz w:val="28"/>
          <w:szCs w:val="28"/>
          <w:lang w:val="kk-KZ"/>
        </w:rPr>
        <w:t>нақты көрсет</w:t>
      </w:r>
      <w:r w:rsidR="0034756A">
        <w:rPr>
          <w:rFonts w:ascii="Times New Roman" w:hAnsi="Times New Roman" w:cs="Times New Roman"/>
          <w:sz w:val="28"/>
          <w:szCs w:val="28"/>
          <w:lang w:val="kk-KZ"/>
        </w:rPr>
        <w:t>ілмеген</w:t>
      </w:r>
      <w:r w:rsidR="00D62D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693A" w:rsidP="005024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21C8B">
        <w:rPr>
          <w:rFonts w:ascii="Times New Roman" w:hAnsi="Times New Roman" w:cs="Times New Roman"/>
          <w:sz w:val="28"/>
          <w:szCs w:val="28"/>
          <w:lang w:val="kk-KZ"/>
        </w:rPr>
        <w:t>Бұдан басқа, Әділет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1C8B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221C8B">
        <w:rPr>
          <w:rFonts w:ascii="Times New Roman" w:hAnsi="Times New Roman" w:cs="Times New Roman"/>
          <w:sz w:val="28"/>
          <w:szCs w:val="28"/>
          <w:lang w:val="kk-KZ"/>
        </w:rPr>
        <w:t>истр</w:t>
      </w:r>
      <w:r w:rsidR="00FA5B8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221C8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A5B87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221C8B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221C8B">
        <w:rPr>
          <w:rFonts w:ascii="Times New Roman" w:hAnsi="Times New Roman" w:cs="Times New Roman"/>
          <w:sz w:val="28"/>
          <w:szCs w:val="28"/>
          <w:lang w:val="kk-KZ"/>
        </w:rPr>
        <w:t xml:space="preserve"> жоғарыда аталған</w:t>
      </w:r>
      <w:r w:rsidRPr="00221C8B" w:rsidR="00221C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1C8B">
        <w:rPr>
          <w:rFonts w:ascii="Times New Roman" w:hAnsi="Times New Roman" w:cs="Times New Roman"/>
          <w:sz w:val="28"/>
          <w:szCs w:val="28"/>
          <w:lang w:val="kk-KZ"/>
        </w:rPr>
        <w:t>мәселе бойынша</w:t>
      </w:r>
      <w:r w:rsidRPr="00221C8B">
        <w:rPr>
          <w:rFonts w:ascii="Times New Roman" w:hAnsi="Times New Roman" w:cs="Times New Roman"/>
          <w:sz w:val="28"/>
          <w:szCs w:val="28"/>
          <w:lang w:val="kk-KZ"/>
        </w:rPr>
        <w:t xml:space="preserve"> түсіндірмесіне сәйкес </w:t>
      </w:r>
      <w:r w:rsidRPr="000E09FD">
        <w:rPr>
          <w:rFonts w:ascii="Times New Roman" w:hAnsi="Times New Roman" w:cs="Times New Roman"/>
          <w:sz w:val="28"/>
          <w:szCs w:val="28"/>
          <w:lang w:val="kk-KZ"/>
        </w:rPr>
        <w:t xml:space="preserve">қосылу және </w:t>
      </w:r>
      <w:r w:rsidRPr="000E09FD" w:rsidR="0034756A">
        <w:rPr>
          <w:rFonts w:ascii="Times New Roman" w:hAnsi="Times New Roman" w:cs="Times New Roman"/>
          <w:sz w:val="28"/>
          <w:szCs w:val="28"/>
          <w:lang w:val="kk-KZ"/>
        </w:rPr>
        <w:t>біріктір</w:t>
      </w:r>
      <w:r w:rsidRPr="000E09F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221C8B">
        <w:rPr>
          <w:rFonts w:ascii="Times New Roman" w:hAnsi="Times New Roman" w:cs="Times New Roman"/>
          <w:sz w:val="28"/>
          <w:szCs w:val="28"/>
          <w:lang w:val="kk-KZ"/>
        </w:rPr>
        <w:t xml:space="preserve"> кезіндегі жұмы</w:t>
      </w:r>
      <w:r w:rsidR="00221C8B">
        <w:rPr>
          <w:rFonts w:ascii="Times New Roman" w:hAnsi="Times New Roman" w:cs="Times New Roman"/>
          <w:sz w:val="28"/>
          <w:szCs w:val="28"/>
          <w:lang w:val="kk-KZ"/>
        </w:rPr>
        <w:t>с тәжірибесі жаңа немесе қосылатын</w:t>
      </w:r>
      <w:r w:rsidRPr="00221C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DC5">
        <w:rPr>
          <w:rFonts w:ascii="Times New Roman" w:hAnsi="Times New Roman" w:cs="Times New Roman"/>
          <w:sz w:val="28"/>
          <w:szCs w:val="28"/>
          <w:lang w:val="kk-KZ"/>
        </w:rPr>
        <w:t xml:space="preserve">заңды </w:t>
      </w:r>
      <w:r w:rsidRPr="000E09FD" w:rsidR="00996DC5">
        <w:rPr>
          <w:rFonts w:ascii="Times New Roman" w:hAnsi="Times New Roman" w:cs="Times New Roman"/>
          <w:sz w:val="28"/>
          <w:szCs w:val="28"/>
          <w:lang w:val="kk-KZ"/>
        </w:rPr>
        <w:t xml:space="preserve">тұлғаға </w:t>
      </w:r>
      <w:r w:rsidRPr="000E09FD" w:rsidR="0034756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E09FD" w:rsidR="00996DC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E09FD" w:rsidR="0034756A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0E09FD" w:rsidR="00996DC5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996D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693A" w:rsidP="005024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Іс жүзінде компаниялардың қайта құру </w:t>
      </w:r>
      <w:r w:rsidR="0037733B">
        <w:rPr>
          <w:rFonts w:ascii="Times New Roman" w:hAnsi="Times New Roman" w:cs="Times New Roman"/>
          <w:sz w:val="28"/>
          <w:szCs w:val="28"/>
          <w:lang w:val="kk-KZ"/>
        </w:rPr>
        <w:t>рәсімдерін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733B">
        <w:rPr>
          <w:rFonts w:ascii="Times New Roman" w:hAnsi="Times New Roman" w:cs="Times New Roman"/>
          <w:sz w:val="28"/>
          <w:szCs w:val="28"/>
          <w:lang w:val="kk-KZ"/>
        </w:rPr>
        <w:t>асыра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 жағдайлары туындайды, атап айтқанда заңды тұлғаларды бөл</w:t>
      </w:r>
      <w:r w:rsidR="0037733B">
        <w:rPr>
          <w:rFonts w:ascii="Times New Roman" w:hAnsi="Times New Roman" w:cs="Times New Roman"/>
          <w:sz w:val="28"/>
          <w:szCs w:val="28"/>
          <w:lang w:val="kk-KZ"/>
        </w:rPr>
        <w:t>іп шығар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>у және бөл</w:t>
      </w:r>
      <w:r w:rsidR="0037733B">
        <w:rPr>
          <w:rFonts w:ascii="Times New Roman" w:hAnsi="Times New Roman" w:cs="Times New Roman"/>
          <w:sz w:val="28"/>
          <w:szCs w:val="28"/>
          <w:lang w:val="kk-KZ"/>
        </w:rPr>
        <w:t>екте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у арқылы қайта құру </w:t>
      </w:r>
      <w:r w:rsidR="001951BE">
        <w:rPr>
          <w:rFonts w:ascii="Times New Roman" w:hAnsi="Times New Roman" w:cs="Times New Roman"/>
          <w:sz w:val="28"/>
          <w:szCs w:val="28"/>
          <w:lang w:val="kk-KZ"/>
        </w:rPr>
        <w:t>барысында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 жаңадан құрылған компанияға қосылу </w:t>
      </w:r>
      <w:r w:rsidR="0037733B">
        <w:rPr>
          <w:rFonts w:ascii="Times New Roman" w:hAnsi="Times New Roman" w:cs="Times New Roman"/>
          <w:sz w:val="28"/>
          <w:szCs w:val="28"/>
          <w:lang w:val="kk-KZ"/>
        </w:rPr>
        <w:t>рәсімдері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>н жүргізу</w:t>
      </w:r>
      <w:r w:rsidR="001951BE">
        <w:rPr>
          <w:rFonts w:ascii="Times New Roman" w:hAnsi="Times New Roman" w:cs="Times New Roman"/>
          <w:sz w:val="28"/>
          <w:szCs w:val="28"/>
          <w:lang w:val="kk-KZ"/>
        </w:rPr>
        <w:t xml:space="preserve"> кезін</w:t>
      </w:r>
      <w:r w:rsidR="0037733B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93A" w:rsidR="0037733B">
        <w:rPr>
          <w:rFonts w:ascii="Times New Roman" w:hAnsi="Times New Roman" w:cs="Times New Roman"/>
          <w:sz w:val="28"/>
          <w:szCs w:val="28"/>
          <w:lang w:val="kk-KZ"/>
        </w:rPr>
        <w:t>жұмыс тәжірибесін</w:t>
      </w:r>
      <w:r w:rsidR="00343F79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5F693A" w:rsidR="003773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5E8A">
        <w:rPr>
          <w:rFonts w:ascii="Times New Roman" w:hAnsi="Times New Roman" w:cs="Times New Roman"/>
          <w:sz w:val="28"/>
          <w:szCs w:val="28"/>
          <w:lang w:val="kk-KZ"/>
        </w:rPr>
        <w:t xml:space="preserve">қоса </w:t>
      </w:r>
      <w:r w:rsidR="0037733B">
        <w:rPr>
          <w:rFonts w:ascii="Times New Roman" w:hAnsi="Times New Roman" w:cs="Times New Roman"/>
          <w:sz w:val="28"/>
          <w:szCs w:val="28"/>
          <w:lang w:val="kk-KZ"/>
        </w:rPr>
        <w:t>бер</w:t>
      </w:r>
      <w:r w:rsidR="00343F79">
        <w:rPr>
          <w:rFonts w:ascii="Times New Roman" w:hAnsi="Times New Roman" w:cs="Times New Roman"/>
          <w:sz w:val="28"/>
          <w:szCs w:val="28"/>
          <w:lang w:val="kk-KZ"/>
        </w:rPr>
        <w:t>ілуі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 оны басқа компанияда </w:t>
      </w:r>
      <w:r w:rsidRPr="000E09FD">
        <w:rPr>
          <w:rFonts w:ascii="Times New Roman" w:hAnsi="Times New Roman" w:cs="Times New Roman"/>
          <w:sz w:val="28"/>
          <w:szCs w:val="28"/>
          <w:lang w:val="kk-KZ"/>
        </w:rPr>
        <w:t>жасанды түрде өсіру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</w:t>
      </w:r>
      <w:r w:rsidR="00350AE7">
        <w:rPr>
          <w:rFonts w:ascii="Times New Roman" w:hAnsi="Times New Roman" w:cs="Times New Roman"/>
          <w:sz w:val="28"/>
          <w:szCs w:val="28"/>
          <w:lang w:val="kk-KZ"/>
        </w:rPr>
        <w:t>ғана жүзеге асуы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F693A" w:rsidP="00B6520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Әртүрлі </w:t>
      </w:r>
      <w:r w:rsidRPr="005F693A" w:rsidR="005016E7">
        <w:rPr>
          <w:rFonts w:ascii="Times New Roman" w:hAnsi="Times New Roman" w:cs="Times New Roman"/>
          <w:sz w:val="28"/>
          <w:szCs w:val="28"/>
          <w:lang w:val="kk-KZ"/>
        </w:rPr>
        <w:t xml:space="preserve">қызмет түрлерін жүзеге асыратын екі компанияны </w:t>
      </w:r>
      <w:r w:rsidRPr="003A40BE">
        <w:rPr>
          <w:rFonts w:ascii="Times New Roman" w:hAnsi="Times New Roman" w:cs="Times New Roman"/>
          <w:i/>
          <w:sz w:val="28"/>
          <w:szCs w:val="28"/>
          <w:lang w:val="kk-KZ"/>
        </w:rPr>
        <w:t>(мысалы: акцизделетін тауарларды сату және тұрғын және тұрғын емес ғимараттар салу)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 қаржы көрсеткіштері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ұлғайт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у мақсатында </w:t>
      </w:r>
      <w:r w:rsidRPr="005F693A" w:rsidR="005016E7">
        <w:rPr>
          <w:rFonts w:ascii="Times New Roman" w:hAnsi="Times New Roman" w:cs="Times New Roman"/>
          <w:sz w:val="28"/>
          <w:szCs w:val="28"/>
          <w:lang w:val="kk-KZ"/>
        </w:rPr>
        <w:t>бірі</w:t>
      </w:r>
      <w:r>
        <w:rPr>
          <w:rFonts w:ascii="Times New Roman" w:hAnsi="Times New Roman" w:cs="Times New Roman"/>
          <w:sz w:val="28"/>
          <w:szCs w:val="28"/>
          <w:lang w:val="kk-KZ"/>
        </w:rPr>
        <w:t>ктіру</w:t>
      </w:r>
      <w:r w:rsidRPr="005F693A" w:rsidR="005016E7">
        <w:rPr>
          <w:rFonts w:ascii="Times New Roman" w:hAnsi="Times New Roman" w:cs="Times New Roman"/>
          <w:sz w:val="28"/>
          <w:szCs w:val="28"/>
          <w:lang w:val="kk-KZ"/>
        </w:rPr>
        <w:t xml:space="preserve"> және қосу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5F693A" w:rsidR="005016E7">
        <w:rPr>
          <w:rFonts w:ascii="Times New Roman" w:hAnsi="Times New Roman" w:cs="Times New Roman"/>
          <w:sz w:val="28"/>
          <w:szCs w:val="28"/>
          <w:lang w:val="kk-KZ"/>
        </w:rPr>
        <w:t xml:space="preserve"> қайта ұйымдастыру кезінде де 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қайта ұйымдастыруды теріс пайдалану </w:t>
      </w:r>
      <w:r w:rsidRPr="005F693A" w:rsidR="005016E7">
        <w:rPr>
          <w:rFonts w:ascii="Times New Roman" w:hAnsi="Times New Roman" w:cs="Times New Roman"/>
          <w:sz w:val="28"/>
          <w:szCs w:val="28"/>
          <w:lang w:val="kk-KZ"/>
        </w:rPr>
        <w:t>туындауы мүмкін.</w:t>
      </w:r>
    </w:p>
    <w:p w:rsidR="000552E8" w:rsidP="00B65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Қайта ұйымдастыру рәсімінен өткен әлеуетті өнім </w:t>
      </w:r>
      <w:r w:rsidR="00D7782E">
        <w:rPr>
          <w:rFonts w:ascii="Times New Roman" w:hAnsi="Times New Roman" w:cs="Times New Roman"/>
          <w:sz w:val="28"/>
          <w:szCs w:val="28"/>
          <w:lang w:val="kk-KZ"/>
        </w:rPr>
        <w:t>жеткіз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>ушінің жұмыс тәжірибесін ескермеу заңды тұлғалардың құқықтар</w:t>
      </w:r>
      <w:r w:rsidR="00B124E0">
        <w:rPr>
          <w:rFonts w:ascii="Times New Roman" w:hAnsi="Times New Roman" w:cs="Times New Roman"/>
          <w:sz w:val="28"/>
          <w:szCs w:val="28"/>
          <w:lang w:val="kk-KZ"/>
        </w:rPr>
        <w:t>ын өрескел бұзу болып табылады. Қ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осылу не бірігу жолымен қайта ұйымдастыру кезінде, сондай-ақ қайта құру кезіндегі сияқты, қосылатын тұлға қызметінің тоқтатылуына байланысты құқықтық </w:t>
      </w:r>
      <w:r w:rsidRPr="00D7782E" w:rsidR="00590B24">
        <w:rPr>
          <w:rFonts w:ascii="Times New Roman" w:hAnsi="Times New Roman" w:cs="Times New Roman"/>
          <w:sz w:val="28"/>
          <w:szCs w:val="28"/>
          <w:lang w:val="kk-KZ"/>
        </w:rPr>
        <w:t>әмбебап</w:t>
      </w:r>
      <w:r w:rsidRPr="005F693A" w:rsidR="00590B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93A">
        <w:rPr>
          <w:rFonts w:ascii="Times New Roman" w:hAnsi="Times New Roman" w:cs="Times New Roman"/>
          <w:sz w:val="28"/>
          <w:szCs w:val="28"/>
          <w:lang w:val="kk-KZ"/>
        </w:rPr>
        <w:t xml:space="preserve">мирасқорлықты қамтамасыз етуге бағытталған процесс жүреді. </w:t>
      </w:r>
      <w:r w:rsidR="009162D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552E8">
        <w:rPr>
          <w:rFonts w:ascii="Times New Roman" w:hAnsi="Times New Roman" w:cs="Times New Roman"/>
          <w:sz w:val="28"/>
          <w:szCs w:val="28"/>
          <w:lang w:val="kk-KZ"/>
        </w:rPr>
        <w:t xml:space="preserve">Бұл мұрагер тұлғаға міндеттемелерді орындауға және құқықтарды қайта ұйымдастырылған заңды тұлға пайдалана алатын көлемде пайдалануға мүмкіндік </w:t>
      </w:r>
      <w:r w:rsidR="009162DC">
        <w:rPr>
          <w:rFonts w:ascii="Times New Roman" w:hAnsi="Times New Roman" w:cs="Times New Roman"/>
          <w:sz w:val="28"/>
          <w:szCs w:val="28"/>
          <w:lang w:val="kk-KZ"/>
        </w:rPr>
        <w:t>береді, яғни</w:t>
      </w:r>
      <w:r w:rsidRPr="000552E8">
        <w:rPr>
          <w:rFonts w:ascii="Times New Roman" w:hAnsi="Times New Roman" w:cs="Times New Roman"/>
          <w:sz w:val="28"/>
          <w:szCs w:val="28"/>
          <w:lang w:val="kk-KZ"/>
        </w:rPr>
        <w:t xml:space="preserve"> барлық мүліктік және мүліктік емес құқықтар, міндеттер, қызметтер, шарттар және басқалар бір ұйымнан екіншісіне ауысады.</w:t>
      </w:r>
    </w:p>
    <w:p w:rsidR="00B124E0" w:rsidP="00B6520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мәселе бойынша бизнес және құ</w:t>
      </w:r>
      <w:r w:rsidR="00D7782E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ырлы мемлекеттік органдардың өкілдері</w:t>
      </w:r>
      <w:r w:rsidR="00E178E2">
        <w:rPr>
          <w:rFonts w:ascii="Times New Roman" w:hAnsi="Times New Roman" w:cs="Times New Roman"/>
          <w:sz w:val="28"/>
          <w:szCs w:val="28"/>
          <w:lang w:val="kk-KZ"/>
        </w:rPr>
        <w:t xml:space="preserve">мен бірігіп </w:t>
      </w:r>
      <w:r w:rsidR="00D7782E">
        <w:rPr>
          <w:rFonts w:ascii="Times New Roman" w:hAnsi="Times New Roman" w:cs="Times New Roman"/>
          <w:sz w:val="28"/>
          <w:szCs w:val="28"/>
          <w:lang w:val="kk-KZ"/>
        </w:rPr>
        <w:t xml:space="preserve">екі рет </w:t>
      </w:r>
      <w:r w:rsidR="00B748A7">
        <w:rPr>
          <w:rFonts w:ascii="Times New Roman" w:hAnsi="Times New Roman" w:cs="Times New Roman"/>
          <w:sz w:val="28"/>
          <w:szCs w:val="28"/>
          <w:lang w:val="kk-KZ"/>
        </w:rPr>
        <w:t>жиналыс өткіздік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516B" w:rsidP="0050240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552E8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айтылғандарға байланысты, осы мәселе бойынша </w:t>
      </w:r>
      <w:r w:rsidR="00B124E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 </w:t>
      </w:r>
      <w:r w:rsidRPr="000552E8" w:rsidR="000552E8">
        <w:rPr>
          <w:rFonts w:ascii="Times New Roman" w:hAnsi="Times New Roman" w:cs="Times New Roman"/>
          <w:sz w:val="28"/>
          <w:szCs w:val="28"/>
          <w:lang w:val="kk-KZ"/>
        </w:rPr>
        <w:t xml:space="preserve"> бойынша сатып алу рәсімдерінің басталуына байланысты</w:t>
      </w:r>
      <w:r w:rsidRPr="000552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52E8" w:rsidR="000552E8">
        <w:rPr>
          <w:rFonts w:ascii="Times New Roman" w:hAnsi="Times New Roman" w:cs="Times New Roman"/>
          <w:sz w:val="28"/>
          <w:szCs w:val="28"/>
          <w:lang w:val="kk-KZ"/>
        </w:rPr>
        <w:t xml:space="preserve">шұғыл </w:t>
      </w:r>
      <w:r w:rsidRPr="000552E8">
        <w:rPr>
          <w:rFonts w:ascii="Times New Roman" w:hAnsi="Times New Roman" w:cs="Times New Roman"/>
          <w:sz w:val="28"/>
          <w:szCs w:val="28"/>
          <w:lang w:val="kk-KZ"/>
        </w:rPr>
        <w:t>шешім қабы</w:t>
      </w:r>
      <w:r w:rsidR="002123DE">
        <w:rPr>
          <w:rFonts w:ascii="Times New Roman" w:hAnsi="Times New Roman" w:cs="Times New Roman"/>
          <w:sz w:val="28"/>
          <w:szCs w:val="28"/>
          <w:lang w:val="kk-KZ"/>
        </w:rPr>
        <w:t>лдау қажеттілігін ескере отырып</w:t>
      </w:r>
      <w:r w:rsidRPr="000552E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2516B" w:rsidRPr="00996DC5" w:rsidP="00B65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52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DC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2516B" w:rsidR="00D7782E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 w:rsidR="00D77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516B" w:rsidR="00D7782E"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="00D7782E">
        <w:rPr>
          <w:rFonts w:ascii="Times New Roman" w:hAnsi="Times New Roman" w:cs="Times New Roman"/>
          <w:sz w:val="28"/>
          <w:szCs w:val="28"/>
          <w:lang w:val="kk-KZ"/>
        </w:rPr>
        <w:t>истр</w:t>
      </w:r>
      <w:r w:rsidRPr="0072516B" w:rsidR="00D7782E">
        <w:rPr>
          <w:rFonts w:ascii="Times New Roman" w:hAnsi="Times New Roman" w:cs="Times New Roman"/>
          <w:sz w:val="28"/>
          <w:szCs w:val="28"/>
          <w:lang w:val="kk-KZ"/>
        </w:rPr>
        <w:t>інің қ</w:t>
      </w:r>
      <w:r w:rsidRPr="0072516B">
        <w:rPr>
          <w:rFonts w:ascii="Times New Roman" w:hAnsi="Times New Roman" w:cs="Times New Roman"/>
          <w:sz w:val="28"/>
          <w:szCs w:val="28"/>
          <w:lang w:val="kk-KZ"/>
        </w:rPr>
        <w:t xml:space="preserve">айта ұйымдастыру нәтижесінде </w:t>
      </w:r>
      <w:r w:rsidR="00D7782E">
        <w:rPr>
          <w:rFonts w:ascii="Times New Roman" w:hAnsi="Times New Roman" w:cs="Times New Roman"/>
          <w:sz w:val="28"/>
          <w:szCs w:val="28"/>
          <w:lang w:val="kk-KZ"/>
        </w:rPr>
        <w:t>игерген</w:t>
      </w:r>
      <w:r w:rsidRPr="0072516B">
        <w:rPr>
          <w:rFonts w:ascii="Times New Roman" w:hAnsi="Times New Roman" w:cs="Times New Roman"/>
          <w:sz w:val="28"/>
          <w:szCs w:val="28"/>
          <w:lang w:val="kk-KZ"/>
        </w:rPr>
        <w:t xml:space="preserve"> жұмыс тәжірибесін растайтын мәліметтер мен құжаттарды электрондық депозитарийге енгізу туралы әлеуетті өнім </w:t>
      </w:r>
      <w:r w:rsidR="00D7782E">
        <w:rPr>
          <w:rFonts w:ascii="Times New Roman" w:hAnsi="Times New Roman" w:cs="Times New Roman"/>
          <w:sz w:val="28"/>
          <w:szCs w:val="28"/>
          <w:lang w:val="kk-KZ"/>
        </w:rPr>
        <w:t>жеткізуш</w:t>
      </w:r>
      <w:r w:rsidRPr="0072516B">
        <w:rPr>
          <w:rFonts w:ascii="Times New Roman" w:hAnsi="Times New Roman" w:cs="Times New Roman"/>
          <w:sz w:val="28"/>
          <w:szCs w:val="28"/>
          <w:lang w:val="kk-KZ"/>
        </w:rPr>
        <w:t>ілердің өтінімдерін қабылдамау</w:t>
      </w:r>
      <w:r w:rsidR="00D7782E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725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DC5">
        <w:rPr>
          <w:rFonts w:ascii="Times New Roman" w:hAnsi="Times New Roman" w:cs="Times New Roman"/>
          <w:sz w:val="28"/>
          <w:szCs w:val="28"/>
          <w:lang w:val="kk-KZ"/>
        </w:rPr>
        <w:t xml:space="preserve">түсіндірмесін </w:t>
      </w:r>
      <w:r w:rsidR="00766357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="00B65202">
        <w:rPr>
          <w:rFonts w:ascii="Times New Roman" w:hAnsi="Times New Roman" w:cs="Times New Roman"/>
          <w:sz w:val="28"/>
          <w:szCs w:val="28"/>
          <w:lang w:val="kk-KZ"/>
        </w:rPr>
        <w:t>сатып алу порталында тоқтату</w:t>
      </w:r>
      <w:r w:rsidRPr="00996DC5" w:rsidR="00996DC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5346B" w:rsidP="00B65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90B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516B" w:rsidR="00590B24">
        <w:rPr>
          <w:rFonts w:ascii="Times New Roman" w:hAnsi="Times New Roman" w:cs="Times New Roman"/>
          <w:sz w:val="28"/>
          <w:szCs w:val="28"/>
          <w:lang w:val="kk-KZ"/>
        </w:rPr>
        <w:t xml:space="preserve">Бұрын </w:t>
      </w:r>
      <w:r w:rsidR="00590B24">
        <w:rPr>
          <w:rFonts w:ascii="Times New Roman" w:hAnsi="Times New Roman" w:cs="Times New Roman"/>
          <w:sz w:val="28"/>
          <w:szCs w:val="28"/>
          <w:lang w:val="kk-KZ"/>
        </w:rPr>
        <w:t>әзірленге</w:t>
      </w:r>
      <w:r w:rsidRPr="0072516B" w:rsidR="005016E7">
        <w:rPr>
          <w:rFonts w:ascii="Times New Roman" w:hAnsi="Times New Roman" w:cs="Times New Roman"/>
          <w:sz w:val="28"/>
          <w:szCs w:val="28"/>
          <w:lang w:val="kk-KZ"/>
        </w:rPr>
        <w:t xml:space="preserve">н түзетулерді пысықтау мақсатында </w:t>
      </w:r>
      <w:r w:rsidR="00590B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2516B" w:rsidR="005016E7">
        <w:rPr>
          <w:rFonts w:ascii="Times New Roman" w:hAnsi="Times New Roman" w:cs="Times New Roman"/>
          <w:sz w:val="28"/>
          <w:szCs w:val="28"/>
          <w:lang w:val="kk-KZ"/>
        </w:rPr>
        <w:t>Атамекен</w:t>
      </w:r>
      <w:r w:rsidR="00590B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2516B" w:rsidR="005016E7">
        <w:rPr>
          <w:rFonts w:ascii="Times New Roman" w:hAnsi="Times New Roman" w:cs="Times New Roman"/>
          <w:sz w:val="28"/>
          <w:szCs w:val="28"/>
          <w:lang w:val="kk-KZ"/>
        </w:rPr>
        <w:t xml:space="preserve"> Ұлттық Кәсіпкерлер палатасы </w:t>
      </w:r>
      <w:r w:rsidR="001B7B12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030407">
        <w:rPr>
          <w:rFonts w:ascii="Times New Roman" w:hAnsi="Times New Roman" w:cs="Times New Roman"/>
          <w:sz w:val="28"/>
          <w:szCs w:val="28"/>
          <w:lang w:val="kk-KZ"/>
        </w:rPr>
        <w:t xml:space="preserve">бизнес </w:t>
      </w:r>
      <w:r w:rsidRPr="0072516B" w:rsidR="005016E7">
        <w:rPr>
          <w:rFonts w:ascii="Times New Roman" w:hAnsi="Times New Roman" w:cs="Times New Roman"/>
          <w:sz w:val="28"/>
          <w:szCs w:val="28"/>
          <w:lang w:val="kk-KZ"/>
        </w:rPr>
        <w:t>өкілдерінің</w:t>
      </w:r>
      <w:r w:rsidRPr="0072516B" w:rsidR="002123DE">
        <w:rPr>
          <w:rFonts w:ascii="Times New Roman" w:hAnsi="Times New Roman" w:cs="Times New Roman"/>
          <w:sz w:val="28"/>
          <w:szCs w:val="28"/>
          <w:lang w:val="kk-KZ"/>
        </w:rPr>
        <w:t xml:space="preserve"> қатысуымен </w:t>
      </w:r>
      <w:r w:rsidRPr="0072516B" w:rsidR="00590B24">
        <w:rPr>
          <w:rFonts w:ascii="Times New Roman" w:hAnsi="Times New Roman" w:cs="Times New Roman"/>
          <w:sz w:val="28"/>
          <w:szCs w:val="28"/>
          <w:lang w:val="kk-KZ"/>
        </w:rPr>
        <w:t>қайта ұйымдастыру кезінде</w:t>
      </w:r>
      <w:r w:rsidR="00590B24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72516B" w:rsidR="00590B24">
        <w:rPr>
          <w:rFonts w:ascii="Times New Roman" w:hAnsi="Times New Roman" w:cs="Times New Roman"/>
          <w:sz w:val="28"/>
          <w:szCs w:val="28"/>
          <w:lang w:val="kk-KZ"/>
        </w:rPr>
        <w:t xml:space="preserve"> жұмыс тәжірибесін реттеуге бағытталған  </w:t>
      </w:r>
      <w:r w:rsidRPr="0072516B" w:rsidR="002123DE">
        <w:rPr>
          <w:rFonts w:ascii="Times New Roman" w:hAnsi="Times New Roman" w:cs="Times New Roman"/>
          <w:sz w:val="28"/>
          <w:szCs w:val="28"/>
          <w:lang w:val="kk-KZ"/>
        </w:rPr>
        <w:t>жұмыс тобы құрылуы</w:t>
      </w:r>
      <w:r w:rsidR="002123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3DE" w:rsidR="002123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52E8" w:rsidR="002123DE">
        <w:rPr>
          <w:rFonts w:ascii="Times New Roman" w:hAnsi="Times New Roman" w:cs="Times New Roman"/>
          <w:sz w:val="28"/>
          <w:szCs w:val="28"/>
          <w:lang w:val="kk-KZ"/>
        </w:rPr>
        <w:t>қажет</w:t>
      </w:r>
      <w:r w:rsidR="009C3945">
        <w:rPr>
          <w:rFonts w:ascii="Times New Roman" w:hAnsi="Times New Roman" w:cs="Times New Roman"/>
          <w:sz w:val="28"/>
          <w:szCs w:val="28"/>
          <w:lang w:val="kk-KZ"/>
        </w:rPr>
        <w:t xml:space="preserve"> деп санаймыз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5346B" w:rsidRPr="0025346B" w:rsidP="00B65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46B">
        <w:rPr>
          <w:rFonts w:ascii="Times New Roman" w:hAnsi="Times New Roman" w:cs="Times New Roman"/>
          <w:sz w:val="28"/>
          <w:szCs w:val="28"/>
          <w:lang w:val="kk-KZ"/>
        </w:rPr>
        <w:t>Осыған байл</w:t>
      </w:r>
      <w:r w:rsidR="00A853D4">
        <w:rPr>
          <w:rFonts w:ascii="Times New Roman" w:hAnsi="Times New Roman" w:cs="Times New Roman"/>
          <w:sz w:val="28"/>
          <w:szCs w:val="28"/>
          <w:lang w:val="kk-KZ"/>
        </w:rPr>
        <w:t>анысты</w:t>
      </w:r>
      <w:r w:rsidRPr="00951E09" w:rsidR="00A853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51E09" w:rsidR="00951E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Әлихан Асханұлы</w:t>
      </w:r>
      <w:r w:rsidRPr="0025346B">
        <w:rPr>
          <w:rFonts w:ascii="Times New Roman" w:hAnsi="Times New Roman" w:cs="Times New Roman"/>
          <w:sz w:val="28"/>
          <w:szCs w:val="28"/>
          <w:lang w:val="kk-KZ"/>
        </w:rPr>
        <w:t>, жоғарыда көрсетілген ұсыныстарды қарауды және "Қазақстан Республикасының Парламенті және оның депутаттарының мәртебесі туралы" Қазақстан Республикасы Конституциялық Заңының 27-бабына сәйкес осы депутаттық сауалды қарау бойынша заңда белгіленген мерзімдер</w:t>
      </w:r>
      <w:r w:rsidR="00055ED4">
        <w:rPr>
          <w:rFonts w:ascii="Times New Roman" w:hAnsi="Times New Roman" w:cs="Times New Roman"/>
          <w:sz w:val="28"/>
          <w:szCs w:val="28"/>
          <w:lang w:val="kk-KZ"/>
        </w:rPr>
        <w:t>де жазбаша жауап беруді сұраймыз</w:t>
      </w:r>
      <w:r w:rsidRPr="002534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5346B" w:rsidP="0072516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5346B" w:rsidP="0072516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5346B" w:rsidRPr="0025346B" w:rsidP="00CA6E74">
      <w:pPr>
        <w:spacing w:after="0" w:line="240" w:lineRule="auto"/>
        <w:ind w:left="-567" w:firstLine="127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>Құрметпен,</w:t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5346B" w:rsidP="00FB345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5346B">
        <w:rPr>
          <w:rFonts w:ascii="Times New Roman" w:hAnsi="Times New Roman" w:cs="Times New Roman"/>
          <w:b/>
          <w:sz w:val="28"/>
          <w:szCs w:val="28"/>
          <w:lang w:val="kk-KZ"/>
        </w:rPr>
        <w:tab/>
        <w:t>Ғ. Дүйсембаев</w:t>
      </w:r>
    </w:p>
    <w:p w:rsidR="00055ED4" w:rsidP="00FB345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С. Лұқпанов</w:t>
      </w:r>
    </w:p>
    <w:p w:rsidR="00564863" w:rsidP="00FB345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4863" w:rsidRPr="00564863" w:rsidP="00564863">
      <w:pPr>
        <w:spacing w:after="0" w:line="360" w:lineRule="auto"/>
        <w:ind w:left="-567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19.01.2023 09:49:31: Дюсембаев Г. И.(Қаржы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19.01.2023 09:50:43: Уакпаев М. С.(Сенат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19.01.2023 10:37:09: Лукпанов С. Е.(Экономикалық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19.01.2023 11:04:23: Данабеков О.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19.01.2023 11:10:04: Агиса Б. А.(Жалпы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19.01.2023 12:24:38: Тулеуова Б. А.(Қаржы және бюджет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19.01.2023 14:57:22 Споткай М. А.. Қол қойылды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4B6A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86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3208742"/>
      <w:docPartObj>
        <w:docPartGallery w:val="Page Numbers (Top of Page)"/>
        <w:docPartUnique/>
      </w:docPartObj>
    </w:sdtPr>
    <w:sdtContent>
      <w:p w:rsidR="004B6A3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63">
          <w:rPr>
            <w:noProof/>
          </w:rPr>
          <w:t>3</w:t>
        </w:r>
        <w:r>
          <w:fldChar w:fldCharType="end"/>
        </w:r>
      </w:p>
    </w:sdtContent>
  </w:sdt>
  <w:p w:rsidR="004B6A34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448183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4863" w:rsidRPr="005648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19.01.2023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501.5pt;margin-top:35.3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64863" w:rsidRPr="005648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19.01.2023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6FA3">
    <w:pPr>
      <w:pStyle w:val="Header"/>
      <w:jc w:val="center"/>
    </w:pPr>
  </w:p>
  <w:p w:rsidR="00756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MgDQ6O4SSev9Uoa+aTdxn1XYTx0CTbv7wuKKKs+bS6Nq9kiI/d0qzGv9/jVSG+NqIxC1O2CMJcf&#10;bzUkdriKQw==&#10;" w:salt="HaNgfZAyXLRlZCU4K1iPCA==&#10;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C5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D3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372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75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56FA3"/>
  </w:style>
  <w:style w:type="paragraph" w:styleId="Footer">
    <w:name w:val="footer"/>
    <w:basedOn w:val="Normal"/>
    <w:link w:val="a1"/>
    <w:uiPriority w:val="99"/>
    <w:unhideWhenUsed/>
    <w:rsid w:val="0075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5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670</Words>
  <Characters>3822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22</cp:revision>
</cp:coreProperties>
</file>