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637"/>
      </w:tblGrid>
      <w:tr w:rsidTr="00AB0304">
        <w:tblPrEx>
          <w:tblW w:w="0" w:type="auto"/>
          <w:tblLayout w:type="fixed"/>
          <w:tblCellMar>
            <w:top w:w="0" w:type="dxa"/>
            <w:bottom w:w="0" w:type="dxa"/>
          </w:tblCellMar>
          <w:tblLook w:val="0000"/>
        </w:tblPrEx>
        <w:tc>
          <w:tcPr>
            <w:tcW w:w="9637" w:type="dxa"/>
            <w:shd w:val="clear" w:color="auto" w:fill="auto"/>
          </w:tcPr>
          <w:p w:rsidR="00AB0304" w:rsidRPr="00AB0304" w:rsidP="00444BDC">
            <w:pPr>
              <w:spacing w:after="0" w:line="240" w:lineRule="auto"/>
              <w:jc w:val="both"/>
              <w:rPr>
                <w:rFonts w:eastAsia="Times New Roman" w:cs="Times New Roman"/>
                <w:color w:val="0C0000"/>
                <w:sz w:val="24"/>
                <w:szCs w:val="28"/>
                <w:lang w:eastAsia="ru-RU"/>
              </w:rPr>
            </w:pPr>
            <w:r>
              <w:rPr>
                <w:rFonts w:eastAsia="Times New Roman" w:cs="Times New Roman"/>
                <w:color w:val="0C0000"/>
                <w:sz w:val="24"/>
                <w:szCs w:val="28"/>
                <w:lang w:eastAsia="ru-RU"/>
              </w:rPr>
              <w:t>№ исх: 16-13-38Д/С   от: 12.11.2021</w:t>
            </w:r>
          </w:p>
        </w:tc>
      </w:tr>
    </w:tbl>
    <w:p w:rsidR="00EA19B2" w:rsidRPr="008F23F4" w:rsidP="00444BDC">
      <w:pPr>
        <w:spacing w:after="0" w:line="240" w:lineRule="auto"/>
        <w:jc w:val="both"/>
        <w:rPr>
          <w:rFonts w:eastAsia="Times New Roman" w:cs="Times New Roman"/>
          <w:b/>
          <w:szCs w:val="28"/>
          <w:lang w:eastAsia="ru-RU"/>
        </w:rPr>
      </w:pPr>
      <w:r>
        <w:rPr>
          <w:rFonts w:eastAsia="Times New Roman" w:cs="Times New Roman"/>
          <w:b/>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28.35pt;margin-top:-28.35pt;position:absolute;width:513.1pt;z-index:-251658240" o:oleicon="f">
            <v:imagedata r:id="rId4" o:title=""/>
          </v:shape>
          <o:OLEObject Type="Embed" ProgID="CorelDRAW.Graphic.14" ShapeID="_x0000_s1025" DrawAspect="Content" ObjectID="_1698212825" r:id="rId5"/>
        </w:pict>
      </w:r>
    </w:p>
    <w:p w:rsidR="00EA19B2" w:rsidRPr="008F23F4" w:rsidP="00444BDC">
      <w:pPr>
        <w:spacing w:after="0" w:line="240" w:lineRule="auto"/>
        <w:ind w:firstLine="6096"/>
        <w:jc w:val="both"/>
        <w:rPr>
          <w:rFonts w:eastAsia="Times New Roman" w:cs="Times New Roman"/>
          <w:b/>
          <w:szCs w:val="28"/>
          <w:lang w:eastAsia="ru-RU"/>
        </w:rPr>
      </w:pPr>
    </w:p>
    <w:p w:rsidR="00EA19B2" w:rsidRPr="008F23F4" w:rsidP="00444BDC">
      <w:pPr>
        <w:spacing w:after="0" w:line="240" w:lineRule="auto"/>
        <w:ind w:firstLine="6096"/>
        <w:jc w:val="both"/>
        <w:rPr>
          <w:rFonts w:eastAsia="Times New Roman" w:cs="Times New Roman"/>
          <w:b/>
          <w:szCs w:val="28"/>
          <w:lang w:eastAsia="ru-RU"/>
        </w:rPr>
      </w:pPr>
    </w:p>
    <w:p w:rsidR="00EA19B2" w:rsidRPr="008F23F4" w:rsidP="00444BDC">
      <w:pPr>
        <w:spacing w:after="0" w:line="240" w:lineRule="auto"/>
        <w:ind w:firstLine="6096"/>
        <w:jc w:val="both"/>
        <w:rPr>
          <w:rFonts w:eastAsia="Times New Roman" w:cs="Times New Roman"/>
          <w:b/>
          <w:szCs w:val="28"/>
          <w:lang w:eastAsia="ru-RU"/>
        </w:rPr>
      </w:pPr>
    </w:p>
    <w:p w:rsidR="00EA19B2" w:rsidRPr="008F23F4" w:rsidP="00444BDC">
      <w:pPr>
        <w:spacing w:after="0" w:line="240" w:lineRule="auto"/>
        <w:ind w:firstLine="6096"/>
        <w:jc w:val="both"/>
        <w:rPr>
          <w:rFonts w:eastAsia="Times New Roman" w:cs="Times New Roman"/>
          <w:b/>
          <w:szCs w:val="28"/>
          <w:lang w:eastAsia="ru-RU"/>
        </w:rPr>
      </w:pPr>
    </w:p>
    <w:p w:rsidR="00EA19B2" w:rsidRPr="008F23F4" w:rsidP="00444BDC">
      <w:pPr>
        <w:spacing w:after="0" w:line="240" w:lineRule="auto"/>
        <w:ind w:firstLine="6096"/>
        <w:jc w:val="both"/>
        <w:rPr>
          <w:rFonts w:eastAsia="Times New Roman" w:cs="Times New Roman"/>
          <w:b/>
          <w:szCs w:val="28"/>
          <w:lang w:eastAsia="ru-RU"/>
        </w:rPr>
      </w:pPr>
    </w:p>
    <w:p w:rsidR="00EA19B2" w:rsidRPr="008F23F4" w:rsidP="00444BDC">
      <w:pPr>
        <w:spacing w:after="0" w:line="240" w:lineRule="auto"/>
        <w:ind w:firstLine="6096"/>
        <w:jc w:val="both"/>
        <w:rPr>
          <w:rFonts w:eastAsia="Times New Roman" w:cs="Times New Roman"/>
          <w:b/>
          <w:szCs w:val="28"/>
          <w:lang w:eastAsia="ru-RU"/>
        </w:rPr>
      </w:pPr>
    </w:p>
    <w:p w:rsidR="00EA19B2" w:rsidRPr="008F23F4" w:rsidP="00444BDC">
      <w:pPr>
        <w:spacing w:after="0" w:line="240" w:lineRule="auto"/>
        <w:ind w:firstLine="6096"/>
        <w:jc w:val="both"/>
        <w:rPr>
          <w:rFonts w:eastAsia="Times New Roman" w:cs="Times New Roman"/>
          <w:b/>
          <w:szCs w:val="28"/>
          <w:lang w:eastAsia="ru-RU"/>
        </w:rPr>
      </w:pPr>
    </w:p>
    <w:p w:rsidR="00EA19B2" w:rsidRPr="008F23F4" w:rsidP="00444BDC">
      <w:pPr>
        <w:spacing w:after="0" w:line="240" w:lineRule="auto"/>
        <w:ind w:firstLine="6096"/>
        <w:jc w:val="both"/>
        <w:rPr>
          <w:rFonts w:eastAsia="Times New Roman" w:cs="Times New Roman"/>
          <w:b/>
          <w:szCs w:val="28"/>
          <w:lang w:eastAsia="ru-RU"/>
        </w:rPr>
      </w:pPr>
    </w:p>
    <w:p w:rsidR="00EA19B2" w:rsidRPr="008F23F4" w:rsidP="00444BDC">
      <w:pPr>
        <w:spacing w:after="0" w:line="240" w:lineRule="auto"/>
        <w:ind w:firstLine="6096"/>
        <w:jc w:val="both"/>
        <w:rPr>
          <w:rFonts w:eastAsia="Times New Roman" w:cs="Times New Roman"/>
          <w:b/>
          <w:szCs w:val="28"/>
          <w:lang w:eastAsia="ru-RU"/>
        </w:rPr>
      </w:pPr>
    </w:p>
    <w:p w:rsidR="00EA19B2" w:rsidRPr="008F23F4" w:rsidP="00444BDC">
      <w:pPr>
        <w:spacing w:after="0" w:line="240" w:lineRule="auto"/>
        <w:ind w:firstLine="6096"/>
        <w:jc w:val="both"/>
        <w:rPr>
          <w:rFonts w:eastAsia="Times New Roman" w:cs="Times New Roman"/>
          <w:b/>
          <w:szCs w:val="28"/>
          <w:lang w:eastAsia="ru-RU"/>
        </w:rPr>
      </w:pPr>
    </w:p>
    <w:p w:rsidR="00B65DC0" w:rsidRPr="008F23F4" w:rsidP="00444BDC">
      <w:pPr>
        <w:pStyle w:val="NormalWeb"/>
        <w:spacing w:before="0" w:beforeAutospacing="0" w:after="0" w:afterAutospacing="0"/>
        <w:ind w:left="4956"/>
        <w:jc w:val="center"/>
        <w:rPr>
          <w:b/>
          <w:sz w:val="28"/>
          <w:szCs w:val="28"/>
        </w:rPr>
      </w:pPr>
    </w:p>
    <w:p w:rsidR="003526A7" w:rsidRPr="008F23F4" w:rsidP="00444BDC">
      <w:pPr>
        <w:pStyle w:val="NormalWeb"/>
        <w:spacing w:before="0" w:beforeAutospacing="0" w:after="0" w:afterAutospacing="0"/>
        <w:ind w:left="4956"/>
        <w:jc w:val="center"/>
        <w:rPr>
          <w:b/>
          <w:sz w:val="28"/>
          <w:szCs w:val="28"/>
        </w:rPr>
      </w:pPr>
      <w:r w:rsidRPr="008F23F4">
        <w:rPr>
          <w:b/>
          <w:sz w:val="28"/>
          <w:szCs w:val="28"/>
        </w:rPr>
        <w:t xml:space="preserve">    </w:t>
      </w:r>
    </w:p>
    <w:p w:rsidR="00E02445" w:rsidRPr="008F23F4" w:rsidP="00444BDC">
      <w:pPr>
        <w:pStyle w:val="NormalWeb"/>
        <w:spacing w:before="0" w:beforeAutospacing="0" w:after="0" w:afterAutospacing="0"/>
        <w:ind w:left="4956"/>
        <w:jc w:val="center"/>
        <w:rPr>
          <w:b/>
          <w:sz w:val="28"/>
          <w:szCs w:val="28"/>
        </w:rPr>
      </w:pPr>
    </w:p>
    <w:p w:rsidR="00886D47" w:rsidRPr="008F23F4" w:rsidP="00AC773D">
      <w:pPr>
        <w:pStyle w:val="NormalWeb"/>
        <w:spacing w:before="0" w:beforeAutospacing="0" w:after="0" w:afterAutospacing="0"/>
        <w:ind w:left="6379"/>
        <w:jc w:val="center"/>
        <w:rPr>
          <w:b/>
          <w:sz w:val="28"/>
          <w:szCs w:val="28"/>
        </w:rPr>
      </w:pPr>
      <w:r w:rsidRPr="008F23F4">
        <w:rPr>
          <w:b/>
          <w:sz w:val="28"/>
          <w:szCs w:val="28"/>
        </w:rPr>
        <w:t xml:space="preserve">Премьер-Министру </w:t>
      </w:r>
    </w:p>
    <w:p w:rsidR="003526A7" w:rsidRPr="008F23F4" w:rsidP="00AC773D">
      <w:pPr>
        <w:pStyle w:val="NormalWeb"/>
        <w:spacing w:before="0" w:beforeAutospacing="0" w:after="0" w:afterAutospacing="0"/>
        <w:ind w:left="6379"/>
        <w:jc w:val="center"/>
        <w:rPr>
          <w:b/>
          <w:sz w:val="28"/>
          <w:szCs w:val="28"/>
        </w:rPr>
      </w:pPr>
      <w:r w:rsidRPr="008F23F4">
        <w:rPr>
          <w:b/>
          <w:sz w:val="28"/>
          <w:szCs w:val="28"/>
        </w:rPr>
        <w:t>Республики Казахстан</w:t>
      </w:r>
    </w:p>
    <w:p w:rsidR="003526A7" w:rsidRPr="008F23F4" w:rsidP="00AC773D">
      <w:pPr>
        <w:pStyle w:val="NormalWeb"/>
        <w:spacing w:before="0" w:beforeAutospacing="0" w:after="0" w:afterAutospacing="0"/>
        <w:ind w:left="6379"/>
        <w:jc w:val="center"/>
        <w:rPr>
          <w:b/>
          <w:sz w:val="28"/>
          <w:szCs w:val="28"/>
        </w:rPr>
      </w:pPr>
      <w:r w:rsidRPr="008F23F4">
        <w:rPr>
          <w:b/>
          <w:sz w:val="28"/>
          <w:szCs w:val="28"/>
        </w:rPr>
        <w:t>МАМИНУ А.У.</w:t>
      </w:r>
    </w:p>
    <w:p w:rsidR="00583F5C" w:rsidRPr="008F23F4" w:rsidP="00444BDC">
      <w:pPr>
        <w:pStyle w:val="NormalWeb"/>
        <w:spacing w:before="0" w:beforeAutospacing="0" w:after="0" w:afterAutospacing="0"/>
        <w:ind w:left="5812"/>
        <w:rPr>
          <w:sz w:val="28"/>
          <w:szCs w:val="28"/>
        </w:rPr>
      </w:pPr>
    </w:p>
    <w:p w:rsidR="00E02445" w:rsidRPr="008F23F4" w:rsidP="00444BDC">
      <w:pPr>
        <w:pStyle w:val="NormalWeb"/>
        <w:spacing w:before="0" w:beforeAutospacing="0" w:after="0" w:afterAutospacing="0"/>
        <w:ind w:left="5812"/>
        <w:rPr>
          <w:sz w:val="28"/>
          <w:szCs w:val="28"/>
        </w:rPr>
      </w:pPr>
    </w:p>
    <w:p w:rsidR="003526A7" w:rsidRPr="008F23F4" w:rsidP="00444BDC">
      <w:pPr>
        <w:pStyle w:val="NormalWeb"/>
        <w:spacing w:before="0" w:beforeAutospacing="0" w:after="0" w:afterAutospacing="0"/>
        <w:jc w:val="center"/>
        <w:rPr>
          <w:b/>
          <w:sz w:val="28"/>
          <w:szCs w:val="28"/>
        </w:rPr>
      </w:pPr>
      <w:r w:rsidRPr="008F23F4">
        <w:rPr>
          <w:b/>
          <w:sz w:val="28"/>
          <w:szCs w:val="28"/>
        </w:rPr>
        <w:t>Уважаемый</w:t>
      </w:r>
      <w:r w:rsidRPr="008F23F4">
        <w:rPr>
          <w:b/>
          <w:sz w:val="28"/>
          <w:szCs w:val="28"/>
        </w:rPr>
        <w:t xml:space="preserve"> </w:t>
      </w:r>
      <w:r w:rsidRPr="008F23F4">
        <w:rPr>
          <w:b/>
          <w:sz w:val="28"/>
          <w:szCs w:val="28"/>
        </w:rPr>
        <w:t>Аскар Узакпаевич</w:t>
      </w:r>
      <w:r w:rsidRPr="008F23F4">
        <w:rPr>
          <w:b/>
          <w:sz w:val="28"/>
          <w:szCs w:val="28"/>
        </w:rPr>
        <w:t>!</w:t>
      </w:r>
    </w:p>
    <w:p w:rsidR="00444BDC" w:rsidRPr="008F23F4" w:rsidP="00444BDC">
      <w:pPr>
        <w:pStyle w:val="NormalWeb"/>
        <w:spacing w:before="0" w:beforeAutospacing="0" w:after="0" w:afterAutospacing="0"/>
        <w:jc w:val="center"/>
        <w:rPr>
          <w:b/>
          <w:sz w:val="28"/>
          <w:szCs w:val="28"/>
        </w:rPr>
      </w:pPr>
    </w:p>
    <w:p w:rsidR="00E02445" w:rsidRPr="008F23F4" w:rsidP="008F23F4">
      <w:pPr>
        <w:tabs>
          <w:tab w:val="left" w:pos="0"/>
        </w:tabs>
        <w:spacing w:after="0" w:line="240" w:lineRule="auto"/>
        <w:ind w:firstLine="709"/>
        <w:jc w:val="both"/>
        <w:rPr>
          <w:rFonts w:cs="Times New Roman"/>
          <w:szCs w:val="28"/>
        </w:rPr>
      </w:pPr>
      <w:r w:rsidRPr="008F23F4">
        <w:rPr>
          <w:rFonts w:cs="Times New Roman"/>
          <w:szCs w:val="28"/>
          <w:shd w:val="clear" w:color="auto" w:fill="FFFFFF"/>
        </w:rPr>
        <w:t xml:space="preserve">В направленных ранее в адрес Правительства </w:t>
      </w:r>
      <w:r w:rsidRPr="008F23F4">
        <w:rPr>
          <w:rFonts w:cs="Times New Roman"/>
          <w:szCs w:val="28"/>
        </w:rPr>
        <w:t>запросах</w:t>
      </w:r>
      <w:r w:rsidRPr="008F23F4">
        <w:rPr>
          <w:rFonts w:cs="Times New Roman"/>
          <w:szCs w:val="26"/>
        </w:rPr>
        <w:t xml:space="preserve"> депутатами Сената</w:t>
      </w:r>
      <w:r w:rsidRPr="008F23F4">
        <w:rPr>
          <w:rFonts w:cs="Times New Roman"/>
          <w:szCs w:val="28"/>
        </w:rPr>
        <w:t xml:space="preserve"> </w:t>
      </w:r>
      <w:r w:rsidRPr="008F23F4">
        <w:rPr>
          <w:rFonts w:cs="Times New Roman"/>
          <w:szCs w:val="26"/>
        </w:rPr>
        <w:t>неоднократно обозначались проблемы правоотношений в сфере жилищной политики, которые существенно сдерживают реализацию гражданами своих прав в данном вопросе.</w:t>
      </w:r>
      <w:r w:rsidRPr="008F23F4">
        <w:rPr>
          <w:rFonts w:cs="Times New Roman"/>
          <w:szCs w:val="28"/>
        </w:rPr>
        <w:t xml:space="preserve"> </w:t>
      </w:r>
    </w:p>
    <w:p w:rsidR="00E02445" w:rsidRPr="008F23F4" w:rsidP="008F23F4">
      <w:pPr>
        <w:tabs>
          <w:tab w:val="left" w:pos="0"/>
        </w:tabs>
        <w:spacing w:after="0" w:line="240" w:lineRule="auto"/>
        <w:ind w:firstLine="709"/>
        <w:jc w:val="both"/>
        <w:rPr>
          <w:rFonts w:cs="Times New Roman"/>
          <w:szCs w:val="28"/>
        </w:rPr>
      </w:pPr>
      <w:r w:rsidRPr="008F23F4">
        <w:rPr>
          <w:rFonts w:cs="Times New Roman"/>
          <w:szCs w:val="28"/>
        </w:rPr>
        <w:t>Вместе с тем до настоящего времени действенных мер в столь чувствительной области не предпринято, что, очевидно, противоречит концепции «Слышащего государства», которая имеет ввиду оперативное и эффективное реагирование государственных органов на возникающие в обществе проблемы, а также повышение уровня доверия граждан к государственной власти.</w:t>
      </w:r>
    </w:p>
    <w:p w:rsidR="001F7C00" w:rsidP="008F23F4">
      <w:pPr>
        <w:tabs>
          <w:tab w:val="left" w:pos="0"/>
        </w:tabs>
        <w:spacing w:after="0" w:line="240" w:lineRule="auto"/>
        <w:ind w:firstLine="709"/>
        <w:jc w:val="both"/>
        <w:rPr>
          <w:rFonts w:cs="Times New Roman"/>
          <w:szCs w:val="28"/>
        </w:rPr>
      </w:pPr>
      <w:r w:rsidRPr="008F23F4">
        <w:rPr>
          <w:rFonts w:cs="Times New Roman"/>
          <w:szCs w:val="28"/>
          <w:shd w:val="clear" w:color="auto" w:fill="FFFFFF"/>
        </w:rPr>
        <w:t>Показательным примером непринятия своевременных мер является</w:t>
      </w:r>
      <w:r w:rsidRPr="008F23F4">
        <w:rPr>
          <w:rFonts w:cs="Times New Roman"/>
          <w:szCs w:val="28"/>
        </w:rPr>
        <w:t xml:space="preserve"> трагический случай выселения семьи из жилого дома в микрорайоне Акбулак г. Алматы, приведший к человеческим жертвам. Данный инцидент подтверждает наличие системных проблем в действующем законодательстве, призванном регулировать вышеупомянутые </w:t>
      </w:r>
      <w:r w:rsidRPr="008F23F4" w:rsidR="0060421D">
        <w:rPr>
          <w:rFonts w:cs="Times New Roman"/>
          <w:szCs w:val="28"/>
        </w:rPr>
        <w:t xml:space="preserve">правоотношения. </w:t>
      </w:r>
    </w:p>
    <w:p w:rsidR="00E02445" w:rsidRPr="008F23F4" w:rsidP="008F23F4">
      <w:pPr>
        <w:tabs>
          <w:tab w:val="left" w:pos="0"/>
        </w:tabs>
        <w:spacing w:after="0" w:line="240" w:lineRule="auto"/>
        <w:ind w:firstLine="709"/>
        <w:jc w:val="both"/>
        <w:rPr>
          <w:rFonts w:cs="Times New Roman"/>
          <w:szCs w:val="28"/>
        </w:rPr>
      </w:pPr>
      <w:r w:rsidRPr="008F23F4">
        <w:rPr>
          <w:rFonts w:cs="Times New Roman"/>
          <w:szCs w:val="28"/>
        </w:rPr>
        <w:t>В</w:t>
      </w:r>
      <w:r w:rsidRPr="008F23F4">
        <w:rPr>
          <w:rFonts w:cs="Times New Roman"/>
          <w:szCs w:val="28"/>
        </w:rPr>
        <w:t xml:space="preserve"> данной связи, Президент Республики Казахстан Касым-Жомарт Токаев поручил Правительству внести </w:t>
      </w:r>
      <w:r w:rsidRPr="008F23F4">
        <w:rPr>
          <w:rFonts w:cs="Times New Roman"/>
          <w:szCs w:val="28"/>
          <w:shd w:val="clear" w:color="auto" w:fill="FFFFFF"/>
        </w:rPr>
        <w:t xml:space="preserve">в короткий срок конкретные законодательные изменения в регулирование, в частности, </w:t>
      </w:r>
      <w:r w:rsidRPr="008F23F4">
        <w:rPr>
          <w:rFonts w:cs="Times New Roman"/>
          <w:szCs w:val="28"/>
        </w:rPr>
        <w:t xml:space="preserve">залоговой политики банков, </w:t>
      </w:r>
      <w:r w:rsidRPr="008F23F4">
        <w:rPr>
          <w:rFonts w:cs="Times New Roman"/>
          <w:szCs w:val="28"/>
          <w:shd w:val="clear" w:color="auto" w:fill="FFFFFF"/>
        </w:rPr>
        <w:t>оценочной деятельности, работы частных судебных исполнителей.</w:t>
      </w:r>
    </w:p>
    <w:p w:rsidR="00E02445" w:rsidRPr="008F23F4" w:rsidP="008F23F4">
      <w:pPr>
        <w:tabs>
          <w:tab w:val="left" w:pos="0"/>
        </w:tabs>
        <w:spacing w:after="0" w:line="240" w:lineRule="auto"/>
        <w:ind w:firstLine="709"/>
        <w:jc w:val="both"/>
        <w:rPr>
          <w:rFonts w:cs="Times New Roman"/>
          <w:szCs w:val="28"/>
          <w:shd w:val="clear" w:color="auto" w:fill="FFFFFF"/>
        </w:rPr>
      </w:pPr>
      <w:r w:rsidRPr="008F23F4">
        <w:rPr>
          <w:rFonts w:cs="Times New Roman"/>
          <w:szCs w:val="28"/>
          <w:shd w:val="clear" w:color="auto" w:fill="FFFFFF"/>
        </w:rPr>
        <w:t>Проведенный в указанном контексте анализ правоприменительной практики показывает, что реализация залогового имущества заемщиков на торгах обременена не только правовыми коллизиями</w:t>
      </w:r>
      <w:r w:rsidRPr="008F23F4">
        <w:rPr>
          <w:rFonts w:cs="Times New Roman"/>
          <w:i/>
          <w:szCs w:val="28"/>
          <w:shd w:val="clear" w:color="auto" w:fill="FFFFFF"/>
        </w:rPr>
        <w:t>,</w:t>
      </w:r>
      <w:r w:rsidRPr="008F23F4">
        <w:rPr>
          <w:rFonts w:cs="Times New Roman"/>
          <w:szCs w:val="28"/>
          <w:shd w:val="clear" w:color="auto" w:fill="FFFFFF"/>
        </w:rPr>
        <w:t xml:space="preserve"> но и является питательной средой для коррупционных проявлений. </w:t>
      </w:r>
      <w:r w:rsidRPr="008F23F4">
        <w:rPr>
          <w:rFonts w:cs="Times New Roman"/>
          <w:szCs w:val="28"/>
        </w:rPr>
        <w:t xml:space="preserve">В связи с неоднозначным пониманием </w:t>
      </w:r>
      <w:r w:rsidRPr="008F23F4">
        <w:rPr>
          <w:rFonts w:cs="Times New Roman"/>
          <w:szCs w:val="28"/>
        </w:rPr>
        <w:t>уполномоченными органами конституционных прав заемщиков, последние</w:t>
      </w:r>
      <w:r w:rsidRPr="008F23F4">
        <w:rPr>
          <w:rFonts w:cs="Times New Roman"/>
          <w:szCs w:val="28"/>
          <w:shd w:val="clear" w:color="auto" w:fill="FFFFFF"/>
        </w:rPr>
        <w:t xml:space="preserve"> оказываются неконкурентоспособными в условиях применения банками и судебными исполнителями имеющихся административных ресурсов.</w:t>
      </w:r>
    </w:p>
    <w:p w:rsidR="00E02445" w:rsidRPr="008F23F4" w:rsidP="008F23F4">
      <w:pPr>
        <w:tabs>
          <w:tab w:val="left" w:pos="0"/>
        </w:tabs>
        <w:spacing w:after="0" w:line="240" w:lineRule="auto"/>
        <w:ind w:firstLine="709"/>
        <w:jc w:val="both"/>
        <w:rPr>
          <w:rFonts w:cs="Times New Roman"/>
          <w:szCs w:val="28"/>
          <w:shd w:val="clear" w:color="auto" w:fill="FFFFFF"/>
        </w:rPr>
      </w:pPr>
      <w:r w:rsidRPr="008F23F4">
        <w:rPr>
          <w:rFonts w:cs="Times New Roman"/>
          <w:szCs w:val="28"/>
          <w:shd w:val="clear" w:color="auto" w:fill="FFFFFF"/>
        </w:rPr>
        <w:t xml:space="preserve">По сведениям осуществляющих мониторинг неправительственных организаций, зачастую на торгах через подставные лица приобретается жилище должников по заниженной стоимости, в отдельных случаях на одно лицо выкупается по несколько квартир. </w:t>
      </w:r>
    </w:p>
    <w:p w:rsidR="00E02445" w:rsidRPr="008F23F4" w:rsidP="008F23F4">
      <w:pPr>
        <w:tabs>
          <w:tab w:val="left" w:pos="0"/>
        </w:tabs>
        <w:spacing w:after="0" w:line="240" w:lineRule="auto"/>
        <w:ind w:firstLine="709"/>
        <w:jc w:val="both"/>
        <w:rPr>
          <w:rFonts w:cs="Times New Roman"/>
          <w:szCs w:val="28"/>
          <w:shd w:val="clear" w:color="auto" w:fill="FFFFFF"/>
        </w:rPr>
      </w:pPr>
      <w:r w:rsidRPr="008F23F4">
        <w:rPr>
          <w:rFonts w:cs="Times New Roman"/>
          <w:szCs w:val="28"/>
          <w:shd w:val="clear" w:color="auto" w:fill="FFFFFF"/>
        </w:rPr>
        <w:t>Мониторинг СМИ и социальных сетей в качестве актуальных для граждан вопросов называет высокую процентную ставку по ипотечным займам; сговор банковских работников и судебных исполнителей при оценке и реализации залогового имущества на торгах; выселение из единственного жилья; нарушение судебными исполнителями норм законодательства; недоступность жилья для граждан, несмотря на наличие государственных жилищных программ.</w:t>
      </w:r>
    </w:p>
    <w:p w:rsidR="00E02445" w:rsidRPr="008F23F4" w:rsidP="008F23F4">
      <w:pPr>
        <w:tabs>
          <w:tab w:val="left" w:pos="0"/>
        </w:tabs>
        <w:spacing w:after="0" w:line="240" w:lineRule="auto"/>
        <w:ind w:firstLine="709"/>
        <w:jc w:val="both"/>
        <w:rPr>
          <w:rFonts w:cs="Times New Roman"/>
          <w:szCs w:val="28"/>
          <w:shd w:val="clear" w:color="auto" w:fill="FFFFFF"/>
        </w:rPr>
      </w:pPr>
      <w:r w:rsidRPr="008F23F4">
        <w:rPr>
          <w:rFonts w:cs="Times New Roman"/>
          <w:szCs w:val="28"/>
          <w:shd w:val="clear" w:color="auto" w:fill="FFFFFF"/>
        </w:rPr>
        <w:t xml:space="preserve">По информации Министерства юстиции РК, с 2016 года по октябрь текущего года судебными исполнителями на торгах было реализовано </w:t>
      </w:r>
      <w:r w:rsidRPr="008F23F4">
        <w:rPr>
          <w:rFonts w:cs="Times New Roman"/>
          <w:szCs w:val="28"/>
          <w:shd w:val="clear" w:color="auto" w:fill="FFFFFF"/>
        </w:rPr>
        <w:br/>
        <w:t xml:space="preserve">1 406 единиц залогового недвижимого имущества (в том числе жилые помещения и коммерческие объекты), должниками самостоятельно реализовано только 464 (25%). При этом, 195 должников выселены из залогового жилого имущества, из них из единственного жилья – 144 </w:t>
      </w:r>
      <w:r w:rsidRPr="008F23F4">
        <w:rPr>
          <w:rFonts w:cs="Times New Roman"/>
          <w:szCs w:val="28"/>
          <w:shd w:val="clear" w:color="auto" w:fill="FFFFFF"/>
        </w:rPr>
        <w:br/>
        <w:t xml:space="preserve">(74%) должников. </w:t>
      </w:r>
    </w:p>
    <w:p w:rsidR="00E02445" w:rsidRPr="008F23F4" w:rsidP="008F23F4">
      <w:pPr>
        <w:tabs>
          <w:tab w:val="left" w:pos="0"/>
        </w:tabs>
        <w:spacing w:after="0" w:line="240" w:lineRule="auto"/>
        <w:ind w:firstLine="709"/>
        <w:jc w:val="both"/>
        <w:rPr>
          <w:rFonts w:cs="Times New Roman"/>
          <w:szCs w:val="28"/>
        </w:rPr>
      </w:pPr>
      <w:r w:rsidRPr="008F23F4">
        <w:rPr>
          <w:rFonts w:cs="Times New Roman"/>
          <w:szCs w:val="28"/>
        </w:rPr>
        <w:t>Так, в</w:t>
      </w:r>
      <w:r w:rsidRPr="008F23F4">
        <w:rPr>
          <w:rFonts w:cs="Times New Roman"/>
          <w:szCs w:val="28"/>
          <w:shd w:val="clear" w:color="auto" w:fill="FFFFFF"/>
        </w:rPr>
        <w:t xml:space="preserve"> сентябре т.г. специализированным межрайонным административным судом г. Караганды были признаны незаконными торги единственного жилья женщины с инвалидностью. По сообщению адвоката, филиалом АО «Банк ЦентрКредит» единственное жилье </w:t>
      </w:r>
      <w:r w:rsidRPr="008F23F4" w:rsidR="00341092">
        <w:rPr>
          <w:rFonts w:cs="Times New Roman"/>
          <w:szCs w:val="28"/>
          <w:shd w:val="clear" w:color="auto" w:fill="FFFFFF"/>
        </w:rPr>
        <w:t>должника приобретено</w:t>
      </w:r>
      <w:r w:rsidRPr="008F23F4">
        <w:rPr>
          <w:rFonts w:cs="Times New Roman"/>
          <w:szCs w:val="28"/>
          <w:shd w:val="clear" w:color="auto" w:fill="FFFFFF"/>
        </w:rPr>
        <w:t xml:space="preserve"> по цене значительно ниже его оценочной стоимости. </w:t>
      </w:r>
    </w:p>
    <w:p w:rsidR="00E02445" w:rsidRPr="008F23F4" w:rsidP="008F23F4">
      <w:pPr>
        <w:tabs>
          <w:tab w:val="left" w:pos="0"/>
        </w:tabs>
        <w:spacing w:after="0" w:line="240" w:lineRule="auto"/>
        <w:ind w:firstLine="709"/>
        <w:jc w:val="both"/>
        <w:rPr>
          <w:rFonts w:cs="Times New Roman"/>
          <w:szCs w:val="28"/>
          <w:shd w:val="clear" w:color="auto" w:fill="FFFFFF"/>
        </w:rPr>
      </w:pPr>
      <w:r w:rsidRPr="008F23F4">
        <w:rPr>
          <w:rFonts w:cs="Times New Roman"/>
          <w:szCs w:val="28"/>
          <w:shd w:val="clear" w:color="auto" w:fill="FFFFFF"/>
        </w:rPr>
        <w:t>По результатам проверки Генеральной прокуратурой деятельности Республиканской палаты частных судебных исполнителей по соблюдению законности проведения электронных торгов с 2015 по 2018 годы, установлено, что в условиях отсутствия конкурентной среды банки приобрели имущество в 78% выигранных торгов.</w:t>
      </w:r>
    </w:p>
    <w:p w:rsidR="00E02445" w:rsidRPr="008F23F4" w:rsidP="008F23F4">
      <w:pPr>
        <w:tabs>
          <w:tab w:val="left" w:pos="0"/>
        </w:tabs>
        <w:spacing w:after="0" w:line="240" w:lineRule="auto"/>
        <w:ind w:firstLine="709"/>
        <w:jc w:val="both"/>
        <w:rPr>
          <w:rFonts w:cs="Times New Roman"/>
          <w:szCs w:val="28"/>
          <w:shd w:val="clear" w:color="auto" w:fill="FFFFFF"/>
        </w:rPr>
      </w:pPr>
      <w:r w:rsidRPr="008F23F4">
        <w:rPr>
          <w:rFonts w:cs="Times New Roman"/>
          <w:szCs w:val="28"/>
          <w:shd w:val="clear" w:color="auto" w:fill="FFFFFF"/>
        </w:rPr>
        <w:t>При этом, цена залогового имущества была в среднем снижена на 30%.</w:t>
      </w:r>
      <w:r w:rsidR="0060421D">
        <w:rPr>
          <w:rFonts w:cs="Times New Roman"/>
          <w:szCs w:val="28"/>
          <w:shd w:val="clear" w:color="auto" w:fill="FFFFFF"/>
          <w:lang w:val="kk-KZ"/>
        </w:rPr>
        <w:t xml:space="preserve">                </w:t>
      </w:r>
      <w:r w:rsidRPr="008F23F4">
        <w:rPr>
          <w:rFonts w:cs="Times New Roman"/>
          <w:szCs w:val="28"/>
          <w:shd w:val="clear" w:color="auto" w:fill="FFFFFF"/>
        </w:rPr>
        <w:t xml:space="preserve"> В 320 случаях подача заявок и онлайн-участие в торгах производились с одних и тех же локальных сетевых адресов, принадлежащих банкам. </w:t>
      </w:r>
      <w:r w:rsidR="0060421D">
        <w:rPr>
          <w:rFonts w:cs="Times New Roman"/>
          <w:szCs w:val="28"/>
          <w:shd w:val="clear" w:color="auto" w:fill="FFFFFF"/>
          <w:lang w:val="kk-KZ"/>
        </w:rPr>
        <w:t xml:space="preserve">                                                    </w:t>
      </w:r>
      <w:r w:rsidRPr="008F23F4">
        <w:rPr>
          <w:rFonts w:cs="Times New Roman"/>
          <w:szCs w:val="28"/>
          <w:shd w:val="clear" w:color="auto" w:fill="FFFFFF"/>
        </w:rPr>
        <w:t>В 52 случаях вторые участники, формально обеспечивающие легитимность торгов, также являлись работниками банков. По всем этим торгам победителями были признаны банки.</w:t>
      </w:r>
    </w:p>
    <w:p w:rsidR="00E02445" w:rsidRPr="008F23F4" w:rsidP="00E02445">
      <w:pPr>
        <w:pStyle w:val="NoSpacing"/>
        <w:ind w:firstLine="709"/>
        <w:jc w:val="both"/>
        <w:rPr>
          <w:rFonts w:ascii="Times New Roman" w:hAnsi="Times New Roman" w:cs="Times New Roman"/>
          <w:sz w:val="28"/>
          <w:szCs w:val="28"/>
        </w:rPr>
      </w:pPr>
      <w:r w:rsidRPr="008F23F4">
        <w:rPr>
          <w:rFonts w:ascii="Times New Roman" w:hAnsi="Times New Roman" w:cs="Times New Roman"/>
          <w:sz w:val="28"/>
          <w:szCs w:val="28"/>
        </w:rPr>
        <w:t xml:space="preserve">В контексте изложенного следует отметить, что пункт 2 статьи 80 Закона «Об исполнительном производстве и статусе судебных исполнителей», устанавливая перечень субъектов, не имеющих права принимать участие в качестве покупателей в электронном аукционе по реализации имущества </w:t>
      </w:r>
      <w:r w:rsidRPr="008F23F4">
        <w:rPr>
          <w:rFonts w:ascii="Times New Roman" w:hAnsi="Times New Roman" w:cs="Times New Roman"/>
          <w:sz w:val="24"/>
          <w:szCs w:val="24"/>
        </w:rPr>
        <w:t>(судебные исполнители и судьи, вынесшие решение по данному исполнительному производству, оценщик, оценивший арестованное имущество, а также их близкие родственники, супруг (супруга), должник),</w:t>
      </w:r>
      <w:r w:rsidRPr="008F23F4">
        <w:rPr>
          <w:rFonts w:ascii="Times New Roman" w:hAnsi="Times New Roman" w:cs="Times New Roman"/>
          <w:sz w:val="28"/>
          <w:szCs w:val="28"/>
        </w:rPr>
        <w:t xml:space="preserve"> не включает туда банки, которые, как показывает практика, являются основными участниками торгов, в том числе приобретающими залоговое имущество должников по заниженной стоимости.  </w:t>
      </w:r>
    </w:p>
    <w:p w:rsidR="00E02445" w:rsidRPr="008F23F4" w:rsidP="00E02445">
      <w:pPr>
        <w:pStyle w:val="NoSpacing"/>
        <w:ind w:firstLine="709"/>
        <w:jc w:val="both"/>
        <w:rPr>
          <w:rFonts w:ascii="Times New Roman" w:hAnsi="Times New Roman" w:cs="Times New Roman"/>
          <w:sz w:val="28"/>
          <w:szCs w:val="28"/>
        </w:rPr>
      </w:pPr>
      <w:r w:rsidRPr="008F23F4">
        <w:rPr>
          <w:rFonts w:ascii="Times New Roman" w:hAnsi="Times New Roman" w:cs="Times New Roman"/>
          <w:sz w:val="28"/>
          <w:szCs w:val="28"/>
        </w:rPr>
        <w:t xml:space="preserve">Заслуживает внимания заключение меморандума между Агентством РК по регулированию и развитию финансового рынка и банками, который приостанавливает на один год реализацию единственного жилья и выселение заемщиков, относящихся к социально уязвимым слоям населения. </w:t>
      </w:r>
    </w:p>
    <w:p w:rsidR="00E02445" w:rsidRPr="008F23F4" w:rsidP="00E02445">
      <w:pPr>
        <w:pStyle w:val="NoSpacing"/>
        <w:ind w:firstLine="709"/>
        <w:jc w:val="both"/>
        <w:rPr>
          <w:rFonts w:ascii="Times New Roman" w:hAnsi="Times New Roman" w:cs="Times New Roman"/>
          <w:sz w:val="28"/>
          <w:szCs w:val="28"/>
        </w:rPr>
      </w:pPr>
      <w:r w:rsidRPr="008F23F4">
        <w:rPr>
          <w:rFonts w:ascii="Times New Roman" w:hAnsi="Times New Roman" w:cs="Times New Roman"/>
          <w:sz w:val="28"/>
          <w:szCs w:val="28"/>
        </w:rPr>
        <w:t>Однако, данная мера, являясь временной, не решает системных проблем в сфере отношений между неплатежеспособными заемщиками, банками и частными судебными исполнителями.</w:t>
      </w:r>
    </w:p>
    <w:p w:rsidR="00E02445" w:rsidRPr="008F23F4" w:rsidP="00E02445">
      <w:pPr>
        <w:pStyle w:val="NoSpacing"/>
        <w:ind w:firstLine="709"/>
        <w:jc w:val="both"/>
        <w:rPr>
          <w:rFonts w:ascii="Times New Roman" w:hAnsi="Times New Roman" w:cs="Times New Roman"/>
          <w:sz w:val="28"/>
          <w:szCs w:val="28"/>
        </w:rPr>
      </w:pPr>
      <w:r w:rsidRPr="008F23F4">
        <w:rPr>
          <w:rFonts w:ascii="Times New Roman" w:hAnsi="Times New Roman" w:cs="Times New Roman"/>
          <w:sz w:val="28"/>
          <w:szCs w:val="28"/>
        </w:rPr>
        <w:t>В данной связи, вновь обращаем внимание на Послание Конституционного Совета РК «О состоянии конституционной законности в Республике Казахстан» 2021 года, в котором, в целях справедливой защиты интересов кредитора и должника, предложено установление запрета на взыскание единственного жилья граждан.</w:t>
      </w:r>
    </w:p>
    <w:p w:rsidR="00E02445" w:rsidRPr="008F23F4" w:rsidP="00E02445">
      <w:pPr>
        <w:pStyle w:val="NoSpacing"/>
        <w:ind w:firstLine="709"/>
        <w:jc w:val="both"/>
        <w:rPr>
          <w:rFonts w:ascii="Times New Roman" w:hAnsi="Times New Roman" w:cs="Times New Roman"/>
          <w:sz w:val="28"/>
          <w:szCs w:val="28"/>
        </w:rPr>
      </w:pPr>
      <w:r w:rsidRPr="008F23F4">
        <w:rPr>
          <w:rFonts w:ascii="Times New Roman" w:hAnsi="Times New Roman" w:cs="Times New Roman"/>
          <w:sz w:val="28"/>
          <w:szCs w:val="28"/>
        </w:rPr>
        <w:t>Также следует отметить, что Специальный докладчик ООН по вопросу о достаточном жилище ранее по итогам визита в Казахстан уже выражал обеспокоенность случаями принудительного выселения в связи с неспособностью малообеспеченных семей выплачивать ипотечные займы, рекомендовав привести законодательство в соответствие с общепризнанными стандартами.</w:t>
      </w:r>
    </w:p>
    <w:p w:rsidR="00E02445" w:rsidRPr="008F23F4" w:rsidP="00E02445">
      <w:pPr>
        <w:pStyle w:val="NoSpacing"/>
        <w:ind w:firstLine="709"/>
        <w:jc w:val="both"/>
        <w:rPr>
          <w:rFonts w:ascii="Times New Roman" w:hAnsi="Times New Roman" w:cs="Times New Roman"/>
          <w:sz w:val="28"/>
          <w:szCs w:val="28"/>
        </w:rPr>
      </w:pPr>
      <w:r w:rsidRPr="008F23F4">
        <w:rPr>
          <w:rFonts w:ascii="Times New Roman" w:hAnsi="Times New Roman" w:cs="Times New Roman"/>
          <w:sz w:val="28"/>
          <w:szCs w:val="28"/>
        </w:rPr>
        <w:t xml:space="preserve">Самого пристального внимания требует деятельность частных судебных исполнителей (далее – ЧСИ). Так, в связи с введением в действие с </w:t>
      </w:r>
      <w:r w:rsidRPr="008F23F4">
        <w:rPr>
          <w:rFonts w:ascii="Times New Roman" w:hAnsi="Times New Roman" w:cs="Times New Roman"/>
          <w:sz w:val="28"/>
          <w:szCs w:val="28"/>
        </w:rPr>
        <w:br/>
        <w:t xml:space="preserve">1 июля т.г. Административного процедурно-процессуального кодекса, споры об обжаловании действий судебных исполнителей рассматриваются в порядке административного судопроизводства. </w:t>
      </w:r>
    </w:p>
    <w:p w:rsidR="00E02445" w:rsidRPr="008F23F4" w:rsidP="00E02445">
      <w:pPr>
        <w:pStyle w:val="NoSpacing"/>
        <w:ind w:firstLine="709"/>
        <w:jc w:val="both"/>
        <w:rPr>
          <w:rFonts w:ascii="Times New Roman" w:hAnsi="Times New Roman" w:cs="Times New Roman"/>
          <w:sz w:val="28"/>
          <w:szCs w:val="28"/>
        </w:rPr>
      </w:pPr>
      <w:r w:rsidRPr="008F23F4">
        <w:rPr>
          <w:rFonts w:ascii="Times New Roman" w:hAnsi="Times New Roman" w:cs="Times New Roman"/>
          <w:sz w:val="28"/>
          <w:szCs w:val="28"/>
        </w:rPr>
        <w:t xml:space="preserve">По информации Верховного Суда, с 1 июля по 30 сентября 2021 года в административные суды республики поступило свыше 7 тыс. дел, из которых </w:t>
      </w:r>
      <w:r w:rsidR="0060421D">
        <w:rPr>
          <w:rFonts w:ascii="Times New Roman" w:hAnsi="Times New Roman" w:cs="Times New Roman"/>
          <w:sz w:val="28"/>
          <w:szCs w:val="28"/>
          <w:lang w:val="kk-KZ"/>
        </w:rPr>
        <w:t xml:space="preserve">                      </w:t>
      </w:r>
      <w:r w:rsidRPr="008F23F4">
        <w:rPr>
          <w:rFonts w:ascii="Times New Roman" w:hAnsi="Times New Roman" w:cs="Times New Roman"/>
          <w:sz w:val="28"/>
          <w:szCs w:val="28"/>
        </w:rPr>
        <w:t xml:space="preserve">2 338 исков по обжалованию действий ЧСИ.  </w:t>
      </w:r>
    </w:p>
    <w:p w:rsidR="00E02445" w:rsidRPr="008F23F4" w:rsidP="00E02445">
      <w:pPr>
        <w:pStyle w:val="NoSpacing"/>
        <w:ind w:firstLine="708"/>
        <w:jc w:val="both"/>
        <w:rPr>
          <w:rFonts w:ascii="Times New Roman" w:hAnsi="Times New Roman" w:cs="Times New Roman"/>
          <w:sz w:val="28"/>
          <w:szCs w:val="28"/>
        </w:rPr>
      </w:pPr>
      <w:r w:rsidRPr="008F23F4">
        <w:rPr>
          <w:rFonts w:ascii="Times New Roman" w:hAnsi="Times New Roman" w:cs="Times New Roman"/>
          <w:sz w:val="28"/>
          <w:szCs w:val="28"/>
        </w:rPr>
        <w:t xml:space="preserve">Жалобы граждан обусловлены нарушением ЧСИ норм действующего законодательства, прав сторон исполнительного производства при наложении ареста на имущество должника, а также отсутствием транспарентности в деятельности ЧСИ и надлежащего государственного контроля в этой сфере. </w:t>
      </w:r>
    </w:p>
    <w:p w:rsidR="00E02445" w:rsidRPr="008F23F4" w:rsidP="00E02445">
      <w:pPr>
        <w:spacing w:after="0" w:line="240" w:lineRule="auto"/>
        <w:ind w:firstLine="708"/>
        <w:jc w:val="both"/>
        <w:rPr>
          <w:rFonts w:cs="Times New Roman"/>
          <w:szCs w:val="28"/>
        </w:rPr>
      </w:pPr>
      <w:r w:rsidRPr="008F23F4">
        <w:rPr>
          <w:rFonts w:cs="Times New Roman"/>
          <w:szCs w:val="28"/>
        </w:rPr>
        <w:t>Так, судом г. Нур-Султана были признаны незаконными действия ЧСИ при выселении в г. Нур-Султане 25 июня 2021 года должника и его несовершеннолетних детей. В нарушение ст.</w:t>
      </w:r>
      <w:r w:rsidRPr="008F23F4">
        <w:t xml:space="preserve"> </w:t>
      </w:r>
      <w:r w:rsidRPr="008F23F4">
        <w:rPr>
          <w:rFonts w:cs="Times New Roman"/>
          <w:szCs w:val="28"/>
        </w:rPr>
        <w:t xml:space="preserve">106 Закона «Об исполнительном производстве и статусе судебных исполнителей», ЧСИ не обеспечил присутствие представителя органов опеки и попечительства. Выселение проводилось в отсутствие должника, последний не был надлежащим образом уведомлен, а также не предоставлен разумный срок для выселения. Кроме того, судебным исполнителем проигнорировано определение районного суда </w:t>
      </w:r>
      <w:r w:rsidR="0060421D">
        <w:rPr>
          <w:rFonts w:cs="Times New Roman"/>
          <w:szCs w:val="28"/>
          <w:lang w:val="kk-KZ"/>
        </w:rPr>
        <w:t xml:space="preserve">                               </w:t>
      </w:r>
      <w:r w:rsidRPr="008F23F4">
        <w:rPr>
          <w:rFonts w:cs="Times New Roman"/>
          <w:szCs w:val="28"/>
        </w:rPr>
        <w:t xml:space="preserve">г. Нур-Султана от 24 июня 2021 года о предоставлении должнику отсрочки для </w:t>
      </w:r>
      <w:r w:rsidRPr="008F23F4">
        <w:rPr>
          <w:rFonts w:eastAsia="Times New Roman" w:cs="Times New Roman"/>
          <w:szCs w:val="28"/>
          <w:lang w:eastAsia="ru-RU"/>
        </w:rPr>
        <w:t>принудительного выселения.</w:t>
      </w:r>
    </w:p>
    <w:p w:rsidR="00E02445" w:rsidRPr="008F23F4" w:rsidP="00E02445">
      <w:pPr>
        <w:tabs>
          <w:tab w:val="left" w:pos="0"/>
        </w:tabs>
        <w:spacing w:after="0" w:line="240" w:lineRule="auto"/>
        <w:jc w:val="both"/>
        <w:rPr>
          <w:rFonts w:eastAsia="Times New Roman" w:cs="Times New Roman"/>
          <w:szCs w:val="28"/>
          <w:lang w:eastAsia="ru-RU"/>
        </w:rPr>
      </w:pPr>
      <w:r w:rsidRPr="008F23F4">
        <w:rPr>
          <w:rFonts w:eastAsia="Times New Roman" w:cs="Times New Roman"/>
          <w:szCs w:val="28"/>
          <w:lang w:eastAsia="ru-RU"/>
        </w:rPr>
        <w:tab/>
        <w:t>В другом случае судебной коллегией Алматинского городского суда признаны незаконными действия ЧСИ в части нарушения очередности реализации залогового имущества должника, что привело к отсутствию возможности сохранить его единственное жилье.</w:t>
      </w:r>
    </w:p>
    <w:p w:rsidR="00E02445" w:rsidRPr="008F23F4" w:rsidP="008F23F4">
      <w:pPr>
        <w:tabs>
          <w:tab w:val="left" w:pos="0"/>
        </w:tabs>
        <w:spacing w:after="0" w:line="240" w:lineRule="auto"/>
        <w:ind w:firstLine="709"/>
        <w:jc w:val="both"/>
        <w:rPr>
          <w:rFonts w:cs="Times New Roman"/>
          <w:szCs w:val="28"/>
        </w:rPr>
      </w:pPr>
      <w:r w:rsidRPr="008F23F4">
        <w:rPr>
          <w:rFonts w:cs="Times New Roman"/>
          <w:szCs w:val="28"/>
        </w:rPr>
        <w:t>Принимая во внимание вышеизложенное, в целях совершенствования правоотношений в сфере жилищной политики, а также защиты конституционных прав граждан, предлагается:</w:t>
      </w:r>
    </w:p>
    <w:p w:rsidR="00E02445" w:rsidRPr="008F23F4" w:rsidP="008F23F4">
      <w:pPr>
        <w:tabs>
          <w:tab w:val="left" w:pos="0"/>
        </w:tabs>
        <w:spacing w:after="0" w:line="240" w:lineRule="auto"/>
        <w:ind w:firstLine="709"/>
        <w:jc w:val="both"/>
        <w:rPr>
          <w:rFonts w:cs="Times New Roman"/>
          <w:szCs w:val="28"/>
        </w:rPr>
      </w:pPr>
      <w:r w:rsidRPr="008F23F4">
        <w:rPr>
          <w:rFonts w:cs="Times New Roman"/>
          <w:szCs w:val="28"/>
        </w:rPr>
        <w:t>1. Рассмотреть возможность предоставления приемлемой отсрочки по банковскому займу при невыполнении заемщиком условий договора до улучшения им своего финансового положения.</w:t>
      </w:r>
    </w:p>
    <w:p w:rsidR="00E02445" w:rsidRPr="008F23F4" w:rsidP="008F23F4">
      <w:pPr>
        <w:tabs>
          <w:tab w:val="left" w:pos="0"/>
        </w:tabs>
        <w:spacing w:after="0" w:line="240" w:lineRule="auto"/>
        <w:ind w:firstLine="709"/>
        <w:jc w:val="both"/>
        <w:rPr>
          <w:rFonts w:cs="Times New Roman"/>
          <w:szCs w:val="28"/>
        </w:rPr>
      </w:pPr>
      <w:r w:rsidRPr="008F23F4">
        <w:rPr>
          <w:rFonts w:cs="Times New Roman"/>
          <w:szCs w:val="28"/>
        </w:rPr>
        <w:t>2. Решить вопрос о проведении оценки залогового имущества с учетом уровня инфляции на соответствующий год.</w:t>
      </w:r>
    </w:p>
    <w:p w:rsidR="00E02445" w:rsidRPr="008F23F4" w:rsidP="008F23F4">
      <w:pPr>
        <w:tabs>
          <w:tab w:val="left" w:pos="0"/>
        </w:tabs>
        <w:spacing w:after="0" w:line="240" w:lineRule="auto"/>
        <w:ind w:firstLine="709"/>
        <w:jc w:val="both"/>
        <w:rPr>
          <w:rFonts w:cs="Times New Roman"/>
          <w:szCs w:val="28"/>
        </w:rPr>
      </w:pPr>
      <w:r w:rsidRPr="008F23F4">
        <w:rPr>
          <w:rFonts w:cs="Times New Roman"/>
          <w:szCs w:val="28"/>
        </w:rPr>
        <w:t xml:space="preserve">3. Проработать вопрос защиты прав граждан, выселяющихся из единственного жилья (сохранение залогового жилья на праве пользования либо предоставление арендного жилья). </w:t>
      </w:r>
    </w:p>
    <w:p w:rsidR="00E02445" w:rsidRPr="008F23F4" w:rsidP="008F23F4">
      <w:pPr>
        <w:tabs>
          <w:tab w:val="left" w:pos="0"/>
        </w:tabs>
        <w:spacing w:after="0" w:line="240" w:lineRule="auto"/>
        <w:ind w:firstLine="709"/>
        <w:jc w:val="both"/>
        <w:rPr>
          <w:rFonts w:cs="Times New Roman"/>
          <w:szCs w:val="28"/>
        </w:rPr>
      </w:pPr>
      <w:r w:rsidRPr="008F23F4">
        <w:rPr>
          <w:rFonts w:cs="Times New Roman"/>
          <w:szCs w:val="28"/>
        </w:rPr>
        <w:t>4. Включить в соответствующие правовые акты норму, исключающую участие банков в торгах по реализации залогового имущества заемщиков.</w:t>
      </w:r>
    </w:p>
    <w:p w:rsidR="00E02445" w:rsidRPr="008F23F4" w:rsidP="008F23F4">
      <w:pPr>
        <w:tabs>
          <w:tab w:val="left" w:pos="0"/>
        </w:tabs>
        <w:spacing w:after="0" w:line="240" w:lineRule="auto"/>
        <w:ind w:firstLine="709"/>
        <w:jc w:val="both"/>
        <w:rPr>
          <w:rFonts w:cs="Times New Roman"/>
          <w:szCs w:val="28"/>
        </w:rPr>
      </w:pPr>
      <w:r w:rsidRPr="008F23F4">
        <w:rPr>
          <w:rFonts w:cs="Times New Roman"/>
          <w:szCs w:val="28"/>
        </w:rPr>
        <w:t>5. Установить запрет на взыскание банками второго уровня имущества заемщика, не предусмотренного договором банковского займа.</w:t>
      </w:r>
    </w:p>
    <w:p w:rsidR="00E02445" w:rsidRPr="008F23F4" w:rsidP="008F23F4">
      <w:pPr>
        <w:tabs>
          <w:tab w:val="left" w:pos="0"/>
        </w:tabs>
        <w:spacing w:after="0" w:line="240" w:lineRule="auto"/>
        <w:ind w:firstLine="709"/>
        <w:jc w:val="both"/>
        <w:rPr>
          <w:rFonts w:cs="Times New Roman"/>
          <w:szCs w:val="28"/>
        </w:rPr>
      </w:pPr>
      <w:r w:rsidRPr="008F23F4">
        <w:rPr>
          <w:rFonts w:cs="Times New Roman"/>
          <w:szCs w:val="28"/>
        </w:rPr>
        <w:t>6. Принять законодательные меры по государственному контролю над деятельностью ЧСИ, усилению их ответственности за ненадлежащее исполнение должностных полномочий, повышению их профессионального уровня.</w:t>
      </w:r>
    </w:p>
    <w:p w:rsidR="00E02445" w:rsidRPr="008F23F4" w:rsidP="00E02445">
      <w:pPr>
        <w:spacing w:after="0" w:line="240" w:lineRule="auto"/>
        <w:ind w:firstLine="709"/>
        <w:jc w:val="both"/>
        <w:rPr>
          <w:rFonts w:cs="Times New Roman"/>
          <w:szCs w:val="28"/>
        </w:rPr>
      </w:pPr>
      <w:r w:rsidRPr="008F23F4">
        <w:rPr>
          <w:rFonts w:cs="Times New Roman"/>
          <w:szCs w:val="28"/>
        </w:rPr>
        <w:t>В соответствии со статьей 27 Конституционного Закона Республики Казахстан «О Парламенте Республики Казахстан и статусе его депутатов» просим в установленные законом сроки дать письменный ответ по результатам рассмотрения настоящего депутатского запроса.</w:t>
      </w:r>
    </w:p>
    <w:p w:rsidR="00444BDC" w:rsidRPr="008F23F4" w:rsidP="00444BDC">
      <w:pPr>
        <w:spacing w:after="0" w:line="240" w:lineRule="auto"/>
        <w:ind w:firstLine="708"/>
        <w:jc w:val="both"/>
        <w:rPr>
          <w:rFonts w:cs="Times New Roman"/>
          <w:b/>
          <w:szCs w:val="28"/>
        </w:rPr>
      </w:pPr>
    </w:p>
    <w:p w:rsidR="00444BDC" w:rsidRPr="008F23F4" w:rsidP="00444BDC">
      <w:pPr>
        <w:spacing w:after="0" w:line="240" w:lineRule="auto"/>
        <w:ind w:firstLine="708"/>
        <w:jc w:val="both"/>
        <w:rPr>
          <w:rFonts w:cs="Times New Roman"/>
          <w:b/>
          <w:szCs w:val="28"/>
        </w:rPr>
      </w:pPr>
    </w:p>
    <w:p w:rsidR="00F70612" w:rsidRPr="008F23F4" w:rsidP="008F23F4">
      <w:pPr>
        <w:spacing w:after="0" w:line="360" w:lineRule="auto"/>
        <w:ind w:firstLine="708"/>
        <w:jc w:val="both"/>
        <w:rPr>
          <w:rFonts w:cs="Times New Roman"/>
          <w:b/>
          <w:szCs w:val="28"/>
        </w:rPr>
      </w:pPr>
      <w:r w:rsidRPr="008F23F4">
        <w:rPr>
          <w:rFonts w:cs="Times New Roman"/>
          <w:b/>
          <w:szCs w:val="28"/>
        </w:rPr>
        <w:t xml:space="preserve">С уважением, </w:t>
      </w:r>
      <w:r w:rsidRPr="008F23F4" w:rsidR="008F23F4">
        <w:rPr>
          <w:rFonts w:cs="Times New Roman"/>
          <w:b/>
          <w:szCs w:val="28"/>
        </w:rPr>
        <w:tab/>
      </w:r>
      <w:r w:rsidRPr="008F23F4" w:rsidR="008F23F4">
        <w:rPr>
          <w:rFonts w:cs="Times New Roman"/>
          <w:b/>
          <w:szCs w:val="28"/>
        </w:rPr>
        <w:tab/>
      </w:r>
      <w:r w:rsidRPr="008F23F4" w:rsidR="008F23F4">
        <w:rPr>
          <w:rFonts w:cs="Times New Roman"/>
          <w:b/>
          <w:szCs w:val="28"/>
        </w:rPr>
        <w:tab/>
      </w:r>
      <w:r w:rsidRPr="008F23F4" w:rsidR="008F23F4">
        <w:rPr>
          <w:rFonts w:cs="Times New Roman"/>
          <w:b/>
          <w:szCs w:val="28"/>
        </w:rPr>
        <w:tab/>
      </w:r>
      <w:r w:rsidRPr="008F23F4" w:rsidR="008F23F4">
        <w:rPr>
          <w:rFonts w:cs="Times New Roman"/>
          <w:b/>
          <w:szCs w:val="28"/>
        </w:rPr>
        <w:tab/>
      </w:r>
      <w:r w:rsidRPr="008F23F4" w:rsidR="008F23F4">
        <w:rPr>
          <w:rFonts w:cs="Times New Roman"/>
          <w:b/>
          <w:szCs w:val="28"/>
        </w:rPr>
        <w:tab/>
      </w:r>
      <w:r w:rsidRPr="008F23F4" w:rsidR="008F23F4">
        <w:rPr>
          <w:rFonts w:cs="Times New Roman"/>
          <w:b/>
          <w:szCs w:val="28"/>
        </w:rPr>
        <w:tab/>
        <w:t xml:space="preserve">   </w:t>
      </w:r>
      <w:r w:rsidRPr="008F23F4" w:rsidR="005A2A2D">
        <w:rPr>
          <w:rFonts w:cs="Times New Roman"/>
          <w:b/>
          <w:szCs w:val="28"/>
        </w:rPr>
        <w:t xml:space="preserve">    </w:t>
      </w:r>
      <w:r w:rsidRPr="008F23F4">
        <w:rPr>
          <w:rFonts w:cs="Times New Roman"/>
          <w:b/>
          <w:szCs w:val="28"/>
        </w:rPr>
        <w:t xml:space="preserve">А. ШАКИРОВ </w:t>
      </w:r>
    </w:p>
    <w:p w:rsidR="00444BDC" w:rsidRPr="008F23F4" w:rsidP="008F23F4">
      <w:pPr>
        <w:spacing w:after="0" w:line="360" w:lineRule="auto"/>
        <w:ind w:left="6372" w:firstLine="708"/>
        <w:jc w:val="center"/>
        <w:rPr>
          <w:rFonts w:cs="Times New Roman"/>
          <w:b/>
          <w:szCs w:val="28"/>
        </w:rPr>
      </w:pPr>
      <w:r w:rsidRPr="008F23F4">
        <w:rPr>
          <w:rFonts w:cs="Times New Roman"/>
          <w:b/>
          <w:szCs w:val="28"/>
        </w:rPr>
        <w:t>В. ВОЛКОВ</w:t>
      </w:r>
    </w:p>
    <w:p w:rsidR="00444BDC" w:rsidP="008F23F4">
      <w:pPr>
        <w:spacing w:after="0" w:line="360" w:lineRule="auto"/>
        <w:ind w:firstLine="708"/>
        <w:jc w:val="right"/>
        <w:rPr>
          <w:rFonts w:cs="Times New Roman"/>
          <w:b/>
          <w:szCs w:val="28"/>
        </w:rPr>
      </w:pPr>
      <w:r w:rsidRPr="008F23F4">
        <w:rPr>
          <w:rFonts w:cs="Times New Roman"/>
          <w:b/>
          <w:szCs w:val="28"/>
        </w:rPr>
        <w:t xml:space="preserve">Л. СУЛЕЙМЕН </w:t>
      </w:r>
    </w:p>
    <w:p w:rsidR="00AB0304" w:rsidP="008F23F4">
      <w:pPr>
        <w:spacing w:after="0" w:line="360" w:lineRule="auto"/>
        <w:ind w:firstLine="708"/>
        <w:jc w:val="right"/>
        <w:rPr>
          <w:rFonts w:cs="Times New Roman"/>
          <w:b/>
          <w:szCs w:val="28"/>
        </w:rPr>
      </w:pPr>
    </w:p>
    <w:p w:rsidR="00AB0304" w:rsidRPr="00AB0304" w:rsidP="00AB0304">
      <w:pPr>
        <w:spacing w:after="0" w:line="360" w:lineRule="auto"/>
        <w:rPr>
          <w:rFonts w:cs="Times New Roman"/>
          <w:color w:val="0C0000"/>
          <w:sz w:val="20"/>
          <w:szCs w:val="28"/>
        </w:rPr>
      </w:pPr>
      <w:r>
        <w:rPr>
          <w:rFonts w:cs="Times New Roman"/>
          <w:b/>
          <w:color w:val="0C0000"/>
          <w:sz w:val="20"/>
          <w:szCs w:val="28"/>
        </w:rPr>
        <w:t>Результаты согласования</w:t>
      </w:r>
      <w:r>
        <w:rPr>
          <w:rFonts w:cs="Times New Roman"/>
          <w:b/>
          <w:color w:val="0C0000"/>
          <w:sz w:val="20"/>
          <w:szCs w:val="28"/>
        </w:rPr>
        <w:br/>
      </w:r>
      <w:r>
        <w:rPr>
          <w:rFonts w:cs="Times New Roman"/>
          <w:color w:val="0C0000"/>
          <w:sz w:val="20"/>
          <w:szCs w:val="28"/>
        </w:rPr>
        <w:t>11.11.2021 13:00:28: Сулеймен Л. Ж. (Комитет по конституционному законодательству, судебной системе и правоохранительным органам) - - cогласовано без замечаний</w:t>
      </w:r>
      <w:r>
        <w:rPr>
          <w:rFonts w:cs="Times New Roman"/>
          <w:color w:val="0C0000"/>
          <w:sz w:val="20"/>
          <w:szCs w:val="28"/>
        </w:rPr>
        <w:br/>
        <w:t>11.11.2021 14:14:00: Турецкий Н. Н. (Отдел по взаимодействию с Комитетом по конституционному законодательству, судебной системе и правоохранительным органам) - - cогласовано без замечаний</w:t>
      </w:r>
      <w:r>
        <w:rPr>
          <w:rFonts w:cs="Times New Roman"/>
          <w:color w:val="0C0000"/>
          <w:sz w:val="20"/>
          <w:szCs w:val="28"/>
        </w:rPr>
        <w:br/>
        <w:t>11.11.2021 14:26:06: Данабеков О. К. (Руководство Аппарата Сената) - - cогласовано без замечаний</w:t>
      </w:r>
      <w:r>
        <w:rPr>
          <w:rFonts w:cs="Times New Roman"/>
          <w:color w:val="0C0000"/>
          <w:sz w:val="20"/>
          <w:szCs w:val="28"/>
        </w:rPr>
        <w:br/>
        <w:t>11.11.2021 14:38:27: Уакпаев М. С. (Руководство Аппарата Сената) - - cогласовано без замечаний</w:t>
      </w:r>
      <w:r>
        <w:rPr>
          <w:rFonts w:cs="Times New Roman"/>
          <w:color w:val="0C0000"/>
          <w:sz w:val="20"/>
          <w:szCs w:val="28"/>
        </w:rPr>
        <w:br/>
        <w:t>11.11.2021 14:46:32: Волков В. В. (Комитет по конституционному законодательству, судебной системе и правоохранительным органам) - - cогласовано без замечаний</w:t>
      </w:r>
      <w:r>
        <w:rPr>
          <w:rFonts w:cs="Times New Roman"/>
          <w:color w:val="0C0000"/>
          <w:sz w:val="20"/>
          <w:szCs w:val="28"/>
        </w:rPr>
        <w:br/>
        <w:t>11.11.2021 15:01:05: Шакиров А. О. (Секретариат Заместителя Председателя Сената) - - cогласовано без замечаний</w:t>
      </w:r>
      <w:r>
        <w:rPr>
          <w:rFonts w:cs="Times New Roman"/>
          <w:color w:val="0C0000"/>
          <w:sz w:val="20"/>
          <w:szCs w:val="28"/>
        </w:rPr>
        <w:br/>
        <w:t>11.11.2021 15:22:35: Агиса Б. А. (Общий отдел) - - cогласовано без замечаний</w:t>
      </w:r>
      <w:r>
        <w:rPr>
          <w:rFonts w:cs="Times New Roman"/>
          <w:color w:val="0C0000"/>
          <w:sz w:val="20"/>
          <w:szCs w:val="28"/>
        </w:rPr>
        <w:br/>
      </w:r>
      <w:r>
        <w:rPr>
          <w:rFonts w:cs="Times New Roman"/>
          <w:b/>
          <w:color w:val="0C0000"/>
          <w:sz w:val="20"/>
          <w:szCs w:val="28"/>
        </w:rPr>
        <w:t>Результат подписания</w:t>
      </w:r>
      <w:r>
        <w:rPr>
          <w:rFonts w:cs="Times New Roman"/>
          <w:b/>
          <w:color w:val="0C0000"/>
          <w:sz w:val="20"/>
          <w:szCs w:val="28"/>
        </w:rPr>
        <w:br/>
      </w:r>
      <w:r>
        <w:rPr>
          <w:rFonts w:cs="Times New Roman"/>
          <w:color w:val="0C0000"/>
          <w:sz w:val="20"/>
          <w:szCs w:val="28"/>
        </w:rPr>
        <w:t>11.11.2021 17:39:25 Ракишева А. Г.. Подписано</w:t>
      </w:r>
      <w:r>
        <w:rPr>
          <w:rFonts w:cs="Times New Roman"/>
          <w:color w:val="0C0000"/>
          <w:sz w:val="20"/>
          <w:szCs w:val="28"/>
        </w:rPr>
        <w:br/>
      </w:r>
      <w:bookmarkStart w:id="0" w:name="_GoBack"/>
      <w:bookmarkEnd w:id="0"/>
    </w:p>
    <w:sectPr w:rsidSect="00E02445">
      <w:headerReference w:type="default" r:id="rId6"/>
      <w:footerReference w:type="default" r:id="rId7"/>
      <w:pgSz w:w="11906" w:h="16838"/>
      <w:pgMar w:top="1134" w:right="851" w:bottom="1134" w:left="1418"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304">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-8968232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B0304" w:rsidRPr="00AB0304">
                          <w:pPr>
                            <w:rPr>
                              <w:rFonts w:cs="Times New Roman"/>
                              <w:color w:val="0C0000"/>
                              <w:sz w:val="14"/>
                            </w:rPr>
                          </w:pPr>
                          <w:r>
                            <w:rPr>
                              <w:rFonts w:cs="Times New Roman"/>
                              <w:color w:val="0C0000"/>
                              <w:sz w:val="14"/>
                            </w:rPr>
                            <w:t xml:space="preserve">12.11.2021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6.1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AB0304" w:rsidRPr="00AB0304">
                    <w:pPr>
                      <w:rPr>
                        <w:rFonts w:cs="Times New Roman"/>
                        <w:color w:val="0C0000"/>
                        <w:sz w:val="14"/>
                      </w:rPr>
                    </w:pPr>
                    <w:r>
                      <w:rPr>
                        <w:rFonts w:cs="Times New Roman"/>
                        <w:color w:val="0C0000"/>
                        <w:sz w:val="14"/>
                      </w:rPr>
                      <w:t xml:space="preserve">12.11.2021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903" w:rsidRPr="008F7903" w:rsidP="00007CF8">
    <w:pPr>
      <w:pStyle w:val="Header"/>
      <w:tabs>
        <w:tab w:val="left" w:pos="5157"/>
        <w:tab w:val="left" w:pos="5666"/>
        <w:tab w:val="clear" w:pos="9355"/>
      </w:tabs>
      <w:rPr>
        <w:lang w:val="kk-KZ"/>
      </w:rPr>
    </w:pPr>
    <w:r>
      <w:tab/>
    </w:r>
    <w:sdt>
      <w:sdtPr>
        <w:id w:val="-664629293"/>
        <w:docPartObj>
          <w:docPartGallery w:val="Page Numbers (Top of Page)"/>
          <w:docPartUnique/>
        </w:docPartObj>
      </w:sdtPr>
      <w:sdtEndPr>
        <w:rPr>
          <w:sz w:val="24"/>
          <w:szCs w:val="24"/>
        </w:rPr>
      </w:sdtEndPr>
      <w:sdtContent>
        <w:r w:rsidRPr="005E60DB" w:rsidR="00AD268B">
          <w:rPr>
            <w:sz w:val="24"/>
            <w:szCs w:val="24"/>
          </w:rPr>
          <w:fldChar w:fldCharType="begin"/>
        </w:r>
        <w:r w:rsidRPr="005E60DB" w:rsidR="00AD268B">
          <w:rPr>
            <w:sz w:val="24"/>
            <w:szCs w:val="24"/>
          </w:rPr>
          <w:instrText>PAGE   \* MERGEFORMAT</w:instrText>
        </w:r>
        <w:r w:rsidRPr="005E60DB" w:rsidR="00AD268B">
          <w:rPr>
            <w:sz w:val="24"/>
            <w:szCs w:val="24"/>
          </w:rPr>
          <w:fldChar w:fldCharType="separate"/>
        </w:r>
        <w:r w:rsidR="00AB0304">
          <w:rPr>
            <w:noProof/>
            <w:sz w:val="24"/>
            <w:szCs w:val="24"/>
          </w:rPr>
          <w:t>5</w:t>
        </w:r>
        <w:r w:rsidRPr="005E60DB" w:rsidR="00AD268B">
          <w:rPr>
            <w:sz w:val="24"/>
            <w:szCs w:val="24"/>
          </w:rPr>
          <w:fldChar w:fldCharType="end"/>
        </w:r>
      </w:sdtContent>
    </w:sdt>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2706E4"/>
    <w:multiLevelType w:val="hybridMultilevel"/>
    <w:tmpl w:val="45D67830"/>
    <w:lvl w:ilvl="0">
      <w:start w:val="2020"/>
      <w:numFmt w:val="bullet"/>
      <w:lvlText w:val="-"/>
      <w:lvlJc w:val="left"/>
      <w:pPr>
        <w:ind w:left="1211" w:hanging="360"/>
      </w:pPr>
      <w:rPr>
        <w:rFonts w:ascii="KZ Times New Roman" w:eastAsia="Calibri" w:hAnsi="KZ Times New Roman" w:cs="Times New Roman" w:hint="default"/>
        <w:b/>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1">
    <w:nsid w:val="13E90FC7"/>
    <w:multiLevelType w:val="hybridMultilevel"/>
    <w:tmpl w:val="D0828D3E"/>
    <w:lvl w:ilvl="0">
      <w:start w:val="1"/>
      <w:numFmt w:val="decimal"/>
      <w:lvlText w:val="%1."/>
      <w:lvlJc w:val="left"/>
      <w:pPr>
        <w:ind w:left="720" w:hanging="360"/>
      </w:pPr>
      <w:rPr>
        <w:rFonts w:ascii="Arial" w:hAnsi="Arial" w:cs="Arial"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781EC0"/>
    <w:multiLevelType w:val="hybridMultilevel"/>
    <w:tmpl w:val="26B8E6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9E3785"/>
    <w:multiLevelType w:val="hybridMultilevel"/>
    <w:tmpl w:val="1264EF1C"/>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6A63705"/>
    <w:multiLevelType w:val="hybridMultilevel"/>
    <w:tmpl w:val="CE3C56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E4D5A1F"/>
    <w:multiLevelType w:val="hybridMultilevel"/>
    <w:tmpl w:val="26084C80"/>
    <w:lvl w:ilvl="0">
      <w:start w:val="1"/>
      <w:numFmt w:val="decimal"/>
      <w:lvlText w:val="%1)"/>
      <w:lvlJc w:val="left"/>
      <w:pPr>
        <w:ind w:left="1211" w:hanging="360"/>
      </w:pPr>
      <w:rPr>
        <w:rFonts w:hint="default"/>
        <w:b w:val="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6">
    <w:nsid w:val="414E0857"/>
    <w:multiLevelType w:val="hybridMultilevel"/>
    <w:tmpl w:val="483EF87A"/>
    <w:lvl w:ilvl="0">
      <w:start w:val="2019"/>
      <w:numFmt w:val="bullet"/>
      <w:lvlText w:val="–"/>
      <w:lvlJc w:val="left"/>
      <w:pPr>
        <w:ind w:left="1211" w:hanging="360"/>
      </w:pPr>
      <w:rPr>
        <w:rFonts w:ascii="Times New Roman" w:eastAsia="Times New Roman"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7">
    <w:nsid w:val="59DE586C"/>
    <w:multiLevelType w:val="hybridMultilevel"/>
    <w:tmpl w:val="FB825B34"/>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679477C8"/>
    <w:multiLevelType w:val="hybridMultilevel"/>
    <w:tmpl w:val="E09C6EF2"/>
    <w:lvl w:ilvl="0">
      <w:start w:val="6"/>
      <w:numFmt w:val="decimal"/>
      <w:lvlText w:val="%1)"/>
      <w:lvlJc w:val="left"/>
      <w:pPr>
        <w:ind w:left="1211" w:hanging="360"/>
      </w:pPr>
      <w:rPr>
        <w:rFonts w:hint="default"/>
        <w:b w:val="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9">
    <w:nsid w:val="75813360"/>
    <w:multiLevelType w:val="hybridMultilevel"/>
    <w:tmpl w:val="50D0CDF6"/>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4"/>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96mXr4KJKtvgyP4usGdFHU4G8j6eFtGQwlFb/xkuukdoFMjUMjgjeabJakyAQXLUOOzz5JF0Lkb&#10;Gi5ICz5J4w==&#10;" w:salt="O2i7EQQGDkxd/AIbv+1adQ==&#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C1A"/>
    <w:rPr>
      <w:rFonts w:ascii="Times New Roman" w:hAnsi="Times New Roman"/>
      <w:sz w:val="28"/>
    </w:rPr>
  </w:style>
  <w:style w:type="paragraph" w:styleId="Heading2">
    <w:name w:val="heading 2"/>
    <w:basedOn w:val="Normal"/>
    <w:next w:val="Normal"/>
    <w:link w:val="2"/>
    <w:uiPriority w:val="9"/>
    <w:semiHidden/>
    <w:unhideWhenUsed/>
    <w:qFormat/>
    <w:rsid w:val="000B40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30"/>
    <w:uiPriority w:val="9"/>
    <w:qFormat/>
    <w:rsid w:val="003526A7"/>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12">
    <w:name w:val="j12"/>
    <w:basedOn w:val="Normal"/>
    <w:rsid w:val="00CF2A4A"/>
    <w:pPr>
      <w:spacing w:before="100" w:beforeAutospacing="1" w:after="100" w:afterAutospacing="1" w:line="240" w:lineRule="auto"/>
    </w:pPr>
    <w:rPr>
      <w:rFonts w:eastAsia="Times New Roman" w:cs="Times New Roman"/>
      <w:sz w:val="24"/>
      <w:szCs w:val="24"/>
      <w:lang w:eastAsia="ru-RU"/>
    </w:rPr>
  </w:style>
  <w:style w:type="paragraph" w:styleId="ListParagraph">
    <w:name w:val="List Paragraph"/>
    <w:basedOn w:val="Normal"/>
    <w:uiPriority w:val="34"/>
    <w:qFormat/>
    <w:rsid w:val="00C9011F"/>
    <w:pPr>
      <w:ind w:left="720"/>
      <w:contextualSpacing/>
    </w:pPr>
  </w:style>
  <w:style w:type="paragraph" w:styleId="NormalWeb">
    <w:name w:val="Normal (Web)"/>
    <w:aliases w:val=" Знак4, Знак4 Знак Знак,Знак Знак1,Знак Знак1 Знак,Знак Знак1 Знак Знак,Знак4,Обычный (Web),Обычный (веб) Знак Знак,Обычный (веб) Знак Знак Знак,Обычный (веб) Знак Знак Знак Знак,Обычный (веб) Знак Знак1,Обычный (веб) Знак1,Обычный (веб)3"/>
    <w:basedOn w:val="Normal"/>
    <w:link w:val="a2"/>
    <w:uiPriority w:val="99"/>
    <w:unhideWhenUsed/>
    <w:qFormat/>
    <w:rsid w:val="00E11987"/>
    <w:pPr>
      <w:spacing w:before="100" w:beforeAutospacing="1" w:after="100" w:afterAutospacing="1" w:line="240" w:lineRule="auto"/>
    </w:pPr>
    <w:rPr>
      <w:rFonts w:eastAsia="Times New Roman" w:cs="Times New Roman"/>
      <w:sz w:val="24"/>
      <w:szCs w:val="24"/>
      <w:lang w:eastAsia="ru-RU"/>
    </w:rPr>
  </w:style>
  <w:style w:type="character" w:styleId="Hyperlink">
    <w:name w:val="Hyperlink"/>
    <w:basedOn w:val="DefaultParagraphFont"/>
    <w:unhideWhenUsed/>
    <w:rsid w:val="00CF32D2"/>
    <w:rPr>
      <w:color w:val="0000FF"/>
      <w:u w:val="single"/>
    </w:rPr>
  </w:style>
  <w:style w:type="paragraph" w:styleId="BalloonText">
    <w:name w:val="Balloon Text"/>
    <w:basedOn w:val="Normal"/>
    <w:link w:val="a"/>
    <w:uiPriority w:val="99"/>
    <w:semiHidden/>
    <w:unhideWhenUsed/>
    <w:rsid w:val="001227FD"/>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1227FD"/>
    <w:rPr>
      <w:rFonts w:ascii="Segoe UI" w:hAnsi="Segoe UI" w:cs="Segoe UI"/>
      <w:sz w:val="18"/>
      <w:szCs w:val="18"/>
    </w:rPr>
  </w:style>
  <w:style w:type="paragraph" w:styleId="Header">
    <w:name w:val="header"/>
    <w:basedOn w:val="Normal"/>
    <w:link w:val="a0"/>
    <w:uiPriority w:val="99"/>
    <w:unhideWhenUsed/>
    <w:rsid w:val="002B3576"/>
    <w:pPr>
      <w:tabs>
        <w:tab w:val="center" w:pos="4677"/>
        <w:tab w:val="right" w:pos="9355"/>
      </w:tabs>
    </w:pPr>
    <w:rPr>
      <w:rFonts w:eastAsia="Calibri" w:cs="Times New Roman"/>
    </w:rPr>
  </w:style>
  <w:style w:type="character" w:customStyle="1" w:styleId="a0">
    <w:name w:val="Верхний колонтитул Знак"/>
    <w:basedOn w:val="DefaultParagraphFont"/>
    <w:link w:val="Header"/>
    <w:uiPriority w:val="99"/>
    <w:rsid w:val="002B3576"/>
    <w:rPr>
      <w:rFonts w:ascii="Times New Roman" w:eastAsia="Calibri" w:hAnsi="Times New Roman" w:cs="Times New Roman"/>
      <w:sz w:val="28"/>
    </w:rPr>
  </w:style>
  <w:style w:type="paragraph" w:styleId="Footer">
    <w:name w:val="footer"/>
    <w:basedOn w:val="Normal"/>
    <w:link w:val="a1"/>
    <w:uiPriority w:val="99"/>
    <w:unhideWhenUsed/>
    <w:rsid w:val="008F790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8F7903"/>
    <w:rPr>
      <w:rFonts w:ascii="Times New Roman" w:hAnsi="Times New Roman"/>
      <w:sz w:val="28"/>
    </w:rPr>
  </w:style>
  <w:style w:type="character" w:customStyle="1" w:styleId="s1a">
    <w:name w:val="s1a"/>
    <w:basedOn w:val="DefaultParagraphFont"/>
    <w:rsid w:val="003B3189"/>
  </w:style>
  <w:style w:type="character" w:styleId="Strong">
    <w:name w:val="Strong"/>
    <w:basedOn w:val="DefaultParagraphFont"/>
    <w:uiPriority w:val="22"/>
    <w:qFormat/>
    <w:rsid w:val="007703EF"/>
    <w:rPr>
      <w:b/>
      <w:bCs/>
    </w:rPr>
  </w:style>
  <w:style w:type="character" w:customStyle="1" w:styleId="hl">
    <w:name w:val="hl"/>
    <w:basedOn w:val="DefaultParagraphFont"/>
    <w:rsid w:val="007703EF"/>
  </w:style>
  <w:style w:type="paragraph" w:customStyle="1" w:styleId="CharChar">
    <w:name w:val="Char Char Знак"/>
    <w:basedOn w:val="Normal"/>
    <w:next w:val="Heading2"/>
    <w:autoRedefine/>
    <w:rsid w:val="000B40DC"/>
    <w:pPr>
      <w:spacing w:line="240" w:lineRule="exact"/>
      <w:jc w:val="center"/>
    </w:pPr>
    <w:rPr>
      <w:rFonts w:eastAsia="Times New Roman" w:cs="Times New Roman"/>
      <w:b/>
      <w:i/>
      <w:szCs w:val="28"/>
      <w:lang w:val="en-US"/>
    </w:rPr>
  </w:style>
  <w:style w:type="character" w:customStyle="1" w:styleId="2">
    <w:name w:val="Заголовок 2 Знак"/>
    <w:basedOn w:val="DefaultParagraphFont"/>
    <w:link w:val="Heading2"/>
    <w:uiPriority w:val="9"/>
    <w:semiHidden/>
    <w:rsid w:val="000B40D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DefaultParagraphFont"/>
    <w:link w:val="Heading3"/>
    <w:uiPriority w:val="9"/>
    <w:rsid w:val="003526A7"/>
    <w:rPr>
      <w:rFonts w:ascii="Times New Roman" w:eastAsia="Times New Roman" w:hAnsi="Times New Roman" w:cs="Times New Roman"/>
      <w:b/>
      <w:bCs/>
      <w:sz w:val="27"/>
      <w:szCs w:val="27"/>
      <w:lang w:eastAsia="ru-RU"/>
    </w:rPr>
  </w:style>
  <w:style w:type="character" w:customStyle="1" w:styleId="a2">
    <w:name w:val="Обычный (веб) Знак"/>
    <w:aliases w:val="Знак Знак1 Знак Знак Знак,Знак Знак1 Знак Знак1,Знак Знак1 Знак1,Обычный (Web) Знак,Обычный (веб) Знак Знак Знак Знак Знак,Обычный (веб) Знак Знак Знак Знак1,Обычный (веб) Знак Знак1 Знак,Обычный (веб) Знак1 Знак,Обычный (веб)3 Знак"/>
    <w:basedOn w:val="DefaultParagraphFont"/>
    <w:link w:val="NormalWeb"/>
    <w:uiPriority w:val="99"/>
    <w:rsid w:val="003526A7"/>
    <w:rPr>
      <w:rFonts w:ascii="Times New Roman" w:eastAsia="Times New Roman" w:hAnsi="Times New Roman" w:cs="Times New Roman"/>
      <w:sz w:val="24"/>
      <w:szCs w:val="24"/>
      <w:lang w:eastAsia="ru-RU"/>
    </w:rPr>
  </w:style>
  <w:style w:type="paragraph" w:styleId="NoSpacing">
    <w:name w:val="No Spacing"/>
    <w:uiPriority w:val="1"/>
    <w:qFormat/>
    <w:rsid w:val="003A2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5</Pages>
  <Words>1446</Words>
  <Characters>8246</Characters>
  <Application>Microsoft Office Word</Application>
  <DocSecurity>8</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115</cp:revision>
</cp:coreProperties>
</file>