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B71AA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B71AA3" w:rsidP="0072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25.07.2022-ғы № 21-14/3111 дз шығыс хаты</w:t>
            </w:r>
          </w:p>
          <w:p w:rsidR="00B71AA3" w:rsidRPr="00B71AA3" w:rsidP="0072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26.07.2022-ғы № 2836//21-14/3111дз кіріс хаты</w:t>
            </w:r>
          </w:p>
        </w:tc>
      </w:tr>
    </w:tbl>
    <w:p w:rsidR="007D7B9E" w:rsidRPr="00DD423F" w:rsidP="0072694E">
      <w:pPr>
        <w:spacing w:after="0" w:line="240" w:lineRule="auto"/>
        <w:ind w:left="6372" w:firstLine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152" w:rsidRPr="00DD423F" w:rsidP="0072694E">
      <w:pPr>
        <w:spacing w:after="0" w:line="240" w:lineRule="auto"/>
        <w:ind w:left="6372" w:firstLine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94E" w:rsidP="0072694E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94E" w:rsidP="0072694E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115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</w:p>
    <w:p w:rsidR="0072694E" w:rsidRPr="009461DA" w:rsidP="0072694E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Парламенті Сенатының</w:t>
      </w:r>
    </w:p>
    <w:p w:rsidR="0072694E" w:rsidP="0072694E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депутаттарына</w:t>
      </w:r>
    </w:p>
    <w:p w:rsidR="0072694E" w:rsidRPr="000B7B81" w:rsidP="0072694E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7B81">
        <w:rPr>
          <w:rFonts w:ascii="Times New Roman" w:hAnsi="Times New Roman" w:cs="Times New Roman"/>
          <w:b/>
          <w:bCs/>
          <w:sz w:val="28"/>
          <w:szCs w:val="28"/>
          <w:lang w:val="kk-KZ"/>
        </w:rPr>
        <w:t>(тізім бойынша)</w:t>
      </w:r>
    </w:p>
    <w:p w:rsidR="0072694E" w:rsidP="007269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72694E" w:rsidRPr="009E419D" w:rsidP="0072694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2022 жылғы 3 маусымдағы</w:t>
      </w:r>
    </w:p>
    <w:p w:rsidR="0072694E" w:rsidRPr="009E419D" w:rsidP="0072694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№16-13-133Д/С сауалға</w:t>
      </w:r>
    </w:p>
    <w:p w:rsidR="0072694E" w:rsidRPr="0047040F" w:rsidP="0072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2694E" w:rsidRPr="0047040F" w:rsidP="0072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2694E" w:rsidP="0072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11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Құрметті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депутаттар</w:t>
      </w:r>
      <w:r w:rsidRPr="0044115C">
        <w:rPr>
          <w:rFonts w:ascii="Times New Roman" w:hAnsi="Times New Roman" w:cs="Times New Roman"/>
          <w:b/>
          <w:bCs/>
          <w:sz w:val="28"/>
          <w:szCs w:val="28"/>
          <w:lang w:val="kk-KZ"/>
        </w:rPr>
        <w:t>!</w:t>
      </w:r>
    </w:p>
    <w:p w:rsidR="0072694E" w:rsidRPr="0047040F" w:rsidP="0072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2694E" w:rsidRPr="007D7B9E" w:rsidP="0072694E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7D7B9E">
        <w:rPr>
          <w:sz w:val="28"/>
          <w:szCs w:val="28"/>
          <w:lang w:val="kk-KZ"/>
        </w:rPr>
        <w:t>Алматыд</w:t>
      </w:r>
      <w:r>
        <w:rPr>
          <w:sz w:val="28"/>
          <w:szCs w:val="28"/>
          <w:lang w:val="kk-KZ"/>
        </w:rPr>
        <w:t>а</w:t>
      </w:r>
      <w:r w:rsidRPr="007D7B9E">
        <w:rPr>
          <w:sz w:val="28"/>
          <w:szCs w:val="28"/>
          <w:lang w:val="kk-KZ"/>
        </w:rPr>
        <w:t xml:space="preserve">ғы спорт сарайындағы жастарға арналған «ИК» тобы мен </w:t>
      </w:r>
      <w:r w:rsidRPr="00095F49">
        <w:rPr>
          <w:sz w:val="28"/>
          <w:szCs w:val="28"/>
          <w:lang w:val="kk-KZ"/>
        </w:rPr>
        <w:t xml:space="preserve">А.М.Жолшиевтың </w:t>
      </w:r>
      <w:r>
        <w:rPr>
          <w:sz w:val="28"/>
          <w:szCs w:val="28"/>
          <w:lang w:val="kk-KZ"/>
        </w:rPr>
        <w:t>(</w:t>
      </w:r>
      <w:r w:rsidRPr="007D7B9E">
        <w:rPr>
          <w:sz w:val="28"/>
          <w:szCs w:val="28"/>
          <w:lang w:val="kk-KZ"/>
        </w:rPr>
        <w:t>«Шиза» лақа</w:t>
      </w:r>
      <w:r>
        <w:rPr>
          <w:sz w:val="28"/>
          <w:szCs w:val="28"/>
          <w:lang w:val="kk-KZ"/>
        </w:rPr>
        <w:t>п</w:t>
      </w:r>
      <w:r w:rsidRPr="007D7B9E">
        <w:rPr>
          <w:sz w:val="28"/>
          <w:szCs w:val="28"/>
          <w:lang w:val="kk-KZ"/>
        </w:rPr>
        <w:t xml:space="preserve"> аты бар әнші</w:t>
      </w:r>
      <w:r>
        <w:rPr>
          <w:sz w:val="28"/>
          <w:szCs w:val="28"/>
          <w:lang w:val="kk-KZ"/>
        </w:rPr>
        <w:t>)</w:t>
      </w:r>
      <w:r w:rsidRPr="007D7B9E">
        <w:rPr>
          <w:sz w:val="28"/>
          <w:szCs w:val="28"/>
          <w:lang w:val="kk-KZ"/>
        </w:rPr>
        <w:t xml:space="preserve"> концертінде орын алған келеңсіз оқиғаға қатысты </w:t>
      </w:r>
      <w:r>
        <w:rPr>
          <w:sz w:val="28"/>
          <w:szCs w:val="28"/>
          <w:lang w:val="kk-KZ"/>
        </w:rPr>
        <w:t xml:space="preserve">депутаттық сауалыңызға келесіні </w:t>
      </w:r>
      <w:r w:rsidRPr="007D7B9E">
        <w:rPr>
          <w:sz w:val="28"/>
          <w:szCs w:val="28"/>
          <w:lang w:val="kk-KZ"/>
        </w:rPr>
        <w:t>хабарлаймын.</w:t>
      </w:r>
    </w:p>
    <w:p w:rsidR="0072694E" w:rsidRPr="00631889" w:rsidP="0072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31889">
        <w:rPr>
          <w:rFonts w:ascii="Times New Roman" w:eastAsia="Calibri" w:hAnsi="Times New Roman" w:cs="Times New Roman"/>
          <w:i/>
          <w:sz w:val="28"/>
          <w:szCs w:val="28"/>
          <w:lang w:val="kk-KZ"/>
        </w:rPr>
        <w:t>«Ирина Қайратовна» тобының концертіндегі Шиза лақап атты әншінің сахнадағы өрескел әрекетіне қатысты.</w:t>
      </w:r>
    </w:p>
    <w:p w:rsidR="0072694E" w:rsidRPr="000B7B81" w:rsidP="0072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Бас прокурат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урасының ақпаратына сәйкес 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А.Жолшиевке қатысты Қазақстан Республикасының Әкімшілік құқық бұзушылық туралы кодексі</w:t>
      </w:r>
      <w:r w:rsidRPr="00D52B9C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440-бабының 1-бөлігі </w:t>
      </w:r>
      <w:r w:rsidRPr="000B7B81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(алкогольдік ішімдіктерді ішу немесе қоғамдық орындарға масаң күйде келу)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хаттама толтырылып, оған </w:t>
      </w:r>
      <w:r w:rsidR="005E35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5 айлық есептік көрсеткіш мөлшерінде айыппұл салынды.</w:t>
      </w:r>
    </w:p>
    <w:p w:rsidR="0072694E" w:rsidP="0072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оғамдық орында былапыт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сөздер 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сөйлеу фактісі бойынша Алматы қаласының әкімшілік құқық бұзушылықтар туралы мамандандырылған сотының 2022 жылғы 28 мамырдағы қаулысымен А.Жолшиевке Қазақстан Республикасының Әкімшілік құқық бұзушылық туралы кодекс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ін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434-бабының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1-бөлігі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234E0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(ұсақ бұзақылық) </w:t>
      </w:r>
      <w:r w:rsidRPr="00D52B9C">
        <w:rPr>
          <w:rFonts w:ascii="Times New Roman" w:eastAsia="Calibri" w:hAnsi="Times New Roman" w:cs="Times New Roman"/>
          <w:sz w:val="28"/>
          <w:szCs w:val="28"/>
          <w:lang w:val="kk-KZ"/>
        </w:rPr>
        <w:t>бойынша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5 АЕК мөлшерінде айыппұл салынды.</w:t>
      </w:r>
    </w:p>
    <w:p w:rsidR="0072694E" w:rsidRPr="00F234E0" w:rsidP="0072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Сондай-ақ аталған іс-шараны (концертті) ұйымдастырушы А.Ш.Нурмагамбетов Қазақстан Республикасының Әкімшілік құқық бұзушылық туралы кодексі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488-1-бабының 1-бөлігі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әкімшілік жауаптылыққа тартылып, оған 20 АЕК мөлшерінде айыппұл салынды </w:t>
      </w:r>
      <w:r w:rsidRPr="00F234E0">
        <w:rPr>
          <w:rFonts w:ascii="Times New Roman" w:eastAsia="Calibri" w:hAnsi="Times New Roman" w:cs="Times New Roman"/>
          <w:i/>
          <w:sz w:val="24"/>
          <w:szCs w:val="24"/>
          <w:lang w:val="kk-KZ"/>
        </w:rPr>
        <w:t>(құқық бұзушылық қысқартылған іс жүргізу тәртібінде қаралды).</w:t>
      </w:r>
    </w:p>
    <w:p w:rsidR="0072694E" w:rsidP="00726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987460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Мемлекеттік рәміздерді қорлау бойынша Заңның баптарын барынша қатайтуды, белгіленген айыппұл мөлшерін екі есе көбейтуді және жаза мерзімін 5 жылға дейін ұзарту 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талабың</w:t>
      </w:r>
      <w:r w:rsidRPr="00987460">
        <w:rPr>
          <w:rFonts w:ascii="Times New Roman" w:eastAsia="Calibri" w:hAnsi="Times New Roman" w:cs="Times New Roman"/>
          <w:i/>
          <w:sz w:val="28"/>
          <w:szCs w:val="28"/>
          <w:lang w:val="kk-KZ"/>
        </w:rPr>
        <w:t>ыз бойынша.</w:t>
      </w:r>
    </w:p>
    <w:p w:rsidR="0072694E" w:rsidRPr="008C6665" w:rsidP="00726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Қазіргі уақытта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Қылмыстық кодексінің «Мемлекеттік рәміздерді қорлау»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деген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372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бабы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нда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көзделген жауапкершілікті қатаңдатуды, соның ішінде ең жоғары айыппұлды </w:t>
      </w:r>
      <w:r w:rsidR="00F05D98">
        <w:rPr>
          <w:rFonts w:ascii="Times New Roman" w:eastAsia="Calibri" w:hAnsi="Times New Roman" w:cs="Times New Roman"/>
          <w:sz w:val="28"/>
          <w:szCs w:val="28"/>
          <w:lang w:val="kk-KZ"/>
        </w:rPr>
        <w:t>2000</w:t>
      </w:r>
      <w:r w:rsidR="004F4110">
        <w:rPr>
          <w:rFonts w:ascii="Times New Roman" w:eastAsia="Calibri" w:hAnsi="Times New Roman" w:cs="Times New Roman"/>
          <w:sz w:val="28"/>
          <w:szCs w:val="28"/>
          <w:lang w:val="kk-KZ"/>
        </w:rPr>
        <w:t>-нан</w:t>
      </w:r>
      <w:r w:rsidR="00F05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3000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АЕК-ке дейін ұлғайту және қоғамдық жұмыстарға тартудың ең ұзақ мерзімін</w:t>
      </w:r>
      <w:r w:rsidR="00F05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600</w:t>
      </w:r>
      <w:r w:rsidR="004F4110">
        <w:rPr>
          <w:rFonts w:ascii="Times New Roman" w:eastAsia="Calibri" w:hAnsi="Times New Roman" w:cs="Times New Roman"/>
          <w:sz w:val="28"/>
          <w:szCs w:val="28"/>
          <w:lang w:val="kk-KZ"/>
        </w:rPr>
        <w:t>-ден</w:t>
      </w:r>
      <w:r w:rsidR="00F05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30E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900 сағатқа дейін ұлғайту бой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ынша түзетулер мүдделі мемлекеттік органдармен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пысықталуда.</w:t>
      </w:r>
    </w:p>
    <w:p w:rsidR="0072694E" w:rsidRPr="00631889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56C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«Мәдениет туралы» Заңға концерттер және т.б. мәдени-көпшілік </w:t>
      </w:r>
      <w:r w:rsidR="00B955D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             </w:t>
      </w:r>
      <w:r w:rsidRPr="001456C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іс-шараларды ұйымдастырушылар мен жекелеген өнер өкілдерінің халық алдындағы жауапкершілігін қамтамасыз ететін баптар енгізуді, әдепсіздік көрсеткен, былапыт сөз айтқан есірткіге елігіп, ішімдік 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ішкен әншілерді                            </w:t>
      </w:r>
      <w:r w:rsidRPr="001456CB">
        <w:rPr>
          <w:rFonts w:ascii="Times New Roman" w:eastAsia="Calibri" w:hAnsi="Times New Roman" w:cs="Times New Roman"/>
          <w:i/>
          <w:sz w:val="28"/>
          <w:szCs w:val="28"/>
          <w:lang w:val="kk-KZ"/>
        </w:rPr>
        <w:t>5 жылға дейін сахнадан аластату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6B772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талабыңыз бойынша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ҚР-сы Мәдениет және спорт министрлігі (бұдан әрі - МСМ) о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йын-сауық мәдени-бұқаралық іс-шараларды өткізу тәртібі және оларды ұйымдастырушылардың міндеттері Қазақстан Республикасының «Мәдениет туралы» Заңында қарастырылған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ын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, алайда бұл міндеттерді орындамағаны үшін жауапкершілік ұйымдастырушы мен орындаушы арасында тек аза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маттық-құқықтық шартпен реттелет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нін атап өтуде</w:t>
      </w:r>
      <w:r w:rsidRPr="007D4BA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2694E" w:rsidRPr="00A43696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Бұл ретте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Республикасының Әкімшілік құқық бұзушылық туралы Кодексінде ойын-сауық мәдени-бұқаралық іс-шараларды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т.б. 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өткізу барысында көрермендермен қарым-қатынас кезінде әртістердің </w:t>
      </w:r>
      <w:r w:rsidRPr="00C3014E">
        <w:rPr>
          <w:rFonts w:ascii="Times New Roman" w:eastAsia="Calibri" w:hAnsi="Times New Roman" w:cs="Times New Roman"/>
          <w:sz w:val="28"/>
          <w:szCs w:val="28"/>
          <w:lang w:val="kk-KZ"/>
        </w:rPr>
        <w:t>әдепсіз мінез-құлық таныт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қаны </w:t>
      </w:r>
      <w:r w:rsidRPr="00C3014E">
        <w:rPr>
          <w:rFonts w:ascii="Times New Roman" w:eastAsia="Calibri" w:hAnsi="Times New Roman" w:cs="Times New Roman"/>
          <w:sz w:val="28"/>
          <w:szCs w:val="28"/>
          <w:lang w:val="kk-KZ"/>
        </w:rPr>
        <w:t>үшін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ұйымдастырушыларға жауапкершілікті қарастыру 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мүдделі </w:t>
      </w:r>
      <w:r w:rsidRPr="007D7B9E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органдар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ға тапсырма берілді</w:t>
      </w:r>
      <w:r w:rsidRPr="007D7B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>Сонымен қатар</w:t>
      </w: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ұйымдастырушылардың тиісті қызметін </w:t>
      </w:r>
      <w:r w:rsidRPr="00B950DE" w:rsidR="007064FF">
        <w:rPr>
          <w:rFonts w:ascii="Times New Roman" w:eastAsia="Calibri" w:hAnsi="Times New Roman" w:cs="Times New Roman"/>
          <w:sz w:val="28"/>
          <w:szCs w:val="28"/>
          <w:lang w:val="kk-KZ"/>
        </w:rPr>
        <w:t>немесе</w:t>
      </w: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жекелеген </w:t>
      </w:r>
      <w:r w:rsidRPr="00B950DE" w:rsidR="007064FF">
        <w:rPr>
          <w:rFonts w:ascii="Times New Roman" w:eastAsia="Calibri" w:hAnsi="Times New Roman" w:cs="Times New Roman"/>
          <w:sz w:val="28"/>
          <w:szCs w:val="28"/>
          <w:lang w:val="kk-KZ"/>
        </w:rPr>
        <w:t>қызмет</w:t>
      </w: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түрлерін тоқтату</w:t>
      </w:r>
      <w:r w:rsidRPr="00B950DE" w:rsidR="007064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тыйым салу, сондай-ақ әншілерді 5 жылға дейін сахнадан </w:t>
      </w: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>шеттету креативті индустрияны нарығының дамуына теріс әсер етуі мүмкін</w:t>
      </w:r>
      <w:r w:rsidRPr="00B950D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2694E" w:rsidRPr="00631889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 кезегінде Қазақстан Республикасының </w:t>
      </w:r>
      <w:r w:rsidRPr="007C3B54">
        <w:rPr>
          <w:rFonts w:ascii="Times New Roman" w:eastAsia="Calibri" w:hAnsi="Times New Roman" w:cs="Times New Roman"/>
          <w:sz w:val="28"/>
          <w:szCs w:val="28"/>
          <w:lang w:val="kk-KZ"/>
        </w:rPr>
        <w:t>Ішкі істер министрлігі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01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мүдделі мемлекеттік органдармен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бірлесіп </w:t>
      </w:r>
      <w:r w:rsidRPr="007C3B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вандализм үшін жауапкершілікті қатаңдату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жөніндегі</w:t>
      </w:r>
      <w:r w:rsidRPr="007C3B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келісім бойынша ұсақ бұзақылық жасағаны үшін санкцияларды ұлғайтуды көздейтін </w:t>
      </w:r>
      <w:r w:rsidRPr="008314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Әкімшілік құқық бұзушылық туралы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Кодексін</w:t>
      </w:r>
      <w:r w:rsidRPr="008314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заңнамалық түзетулер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ді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әзірле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(434-бабы), олардың шекті мөлшерлерін белгіле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ді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2694E" w:rsidRPr="00631889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1)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бөлім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C3B54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5-тен 20 АЕК-ке дейін айыппұл, сондай-ақ әкімшілік қамауға алудың ең төменгі шегі 5-тен 15 тәулікке дейін;</w:t>
      </w:r>
    </w:p>
    <w:p w:rsidR="0072694E" w:rsidRPr="00631889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2) 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>әкімшілік қамаққа алудың ең төменгі шегі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15-тен </w:t>
      </w:r>
      <w:r w:rsidR="00B955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30 </w:t>
      </w:r>
      <w:r w:rsidRPr="00891108">
        <w:rPr>
          <w:rFonts w:ascii="Times New Roman" w:eastAsia="Calibri" w:hAnsi="Times New Roman" w:cs="Times New Roman"/>
          <w:sz w:val="28"/>
          <w:szCs w:val="28"/>
          <w:lang w:val="kk-KZ"/>
        </w:rPr>
        <w:t>тәулікке</w:t>
      </w:r>
      <w:r w:rsidRPr="006318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дейін.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МСМ</w:t>
      </w:r>
      <w:r w:rsidRPr="001D30F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BC02D5"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жанынан репертуарлық алқа мен республикалық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және өңірлік к</w:t>
      </w:r>
      <w:r w:rsidRPr="00BC02D5">
        <w:rPr>
          <w:rFonts w:ascii="Times New Roman" w:eastAsia="Calibri" w:hAnsi="Times New Roman" w:cs="Times New Roman"/>
          <w:i/>
          <w:sz w:val="28"/>
          <w:szCs w:val="28"/>
          <w:lang w:val="kk-KZ"/>
        </w:rPr>
        <w:t>өрк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емдік кеңестердің жұмысын күшейту талабыңыз бойынша.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МСМ ақпаратына сәйкес 10-нан астам көркемдік кеңес жұмыс істейді. 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>Олардың бірі – 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узыкалық және концерттік қызмет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жөніндегі</w:t>
      </w:r>
      <w:r w:rsidRPr="006D22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көркемдік кеңес.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2021 жылдан бастап мұражай-кітапхана ісі, театр-цирк өнері, </w:t>
      </w:r>
      <w:r w:rsidR="00B955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музыкалық-концерттік қызмет бойынша өңірлік көркемдік кеңестер жұмыс істейді. Олардың функцияларына мемлекеттік коммуналдық театрлардың, цирктердің, мұражайлардың, кітапханалардың және концерттік ұйымдардың қызметін жетілдіру бойынша ұсыныстар әзірлеу кіреді.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Сонымен қатар репертуарлық саясат жұмысын күшейту бойынша </w:t>
      </w:r>
      <w:r w:rsidR="00B955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МСМ әзірлеген Қазақстан Республикасының </w:t>
      </w:r>
      <w:r w:rsidRPr="000148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2030 жылға дейінгі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мәдени саясаты тұжырымдасының жобасына отандық авторлардың жаңа қойылымдарының санын 90 бірлікке дейін арттыру мақсатты индикаторы енгізілді. </w:t>
      </w:r>
      <w:r w:rsidR="00B955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260F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көрсеткішті іске асыру шеңберінде салалық және өңірлік көркемөнер кеңестерінде жаңа туындыларды қарау, сондай-ақ мәдениет мекемелерінің сайттары мен әлеуметтік желілері арқылы халықтың өнер туындыларын көруге қолжетімділігін кеңейту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ұсынылуда</w:t>
      </w:r>
      <w:r w:rsidRPr="00260F6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2694E" w:rsidRPr="00973837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97383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Бұқаралық мәдени шараларды өткізу мен жүргізу талаптарына халықтың салт-дәстүрі мен әдеп-ғұрпын сақтау мен сыйлау ережелерін енгізуді, осы талаптарды бұзған шығармашыл ұйымдар қызметіне </w:t>
      </w:r>
      <w:r w:rsidR="00B955D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                                 </w:t>
      </w:r>
      <w:r w:rsidRPr="0097383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5 жылға дейін шектеу қою </w:t>
      </w:r>
      <w:r w:rsidRPr="006B772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талабыңыз бойынша</w:t>
      </w:r>
      <w:r w:rsidRPr="00973837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«Мәдениет туралы» Қазақстан Республикасы Заңының 9-1-бабымен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ойын-сауық мәдени-бұқаралық іс-шараларды өткізуді ұйымдастыру тәртібі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бекітілген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795A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оған сәйкес осы іс-шараларды ұйымдастырушылар Қазақстан Республикасының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құрылысын күштеп өзгертуге, оның тұтастығын бұзуға, мемлекет қауіпсіздігіне нұқсан келтіруге, соғыс, әлеуметтік, нәсілдік, ұлттық, діни, тектік-топтық және рулық астамшылықты, қатыгездік пен зорлық-зомбылыққа табынуды насихаттауға немесе үгіттеуге бағытталған, сондай-ақ </w:t>
      </w:r>
      <w:r w:rsidRPr="00795AAE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ға бірдей</w:t>
      </w:r>
      <w:r w:rsidRPr="00795A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қабылданған мораль мен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имандылық </w:t>
      </w:r>
      <w:r w:rsidRPr="00795A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нормаларына қайшы келетін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контентті пайдаланбауға  міндетті</w:t>
      </w:r>
      <w:r w:rsidRPr="00795A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Сондай-ақ 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Спорттық және спорттық-бұқаралық, ойын-сауық мәдени-бұқаралық іс-шараларды өткізу қауіпсіздігін қамтамасыз ет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 жөніндегі нұсқаулық </w:t>
      </w:r>
      <w:r w:rsidRPr="004F1CB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(Қазақстан Республикасы </w:t>
      </w:r>
      <w:r w:rsidR="00A92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                        </w:t>
      </w:r>
      <w:r w:rsidRPr="004F1CB7">
        <w:rPr>
          <w:rFonts w:ascii="Times New Roman" w:eastAsia="Calibri" w:hAnsi="Times New Roman" w:cs="Times New Roman"/>
          <w:i/>
          <w:sz w:val="24"/>
          <w:szCs w:val="24"/>
          <w:lang w:val="kk-KZ"/>
        </w:rPr>
        <w:t>Ішкі істер министрінің 2017 жылғы 1 қаңтардағы және Қазақстан Республикасы Мәдениет және спорт министрінің 2017 жылғы 17 қаңтардағы бірлескен бұйрығымен)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қолданылуда</w:t>
      </w:r>
      <w:r w:rsidRPr="0097383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48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Осылайша, осы бап Қазақстан халқының жалпы қабылданған этикалық нормаларын сақтау мәселелерін жеткілікті дәрежеде қамтиды деп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сана</w:t>
      </w:r>
      <w:r w:rsidRPr="001E48E2">
        <w:rPr>
          <w:rFonts w:ascii="Times New Roman" w:eastAsia="Calibri" w:hAnsi="Times New Roman" w:cs="Times New Roman"/>
          <w:sz w:val="28"/>
          <w:szCs w:val="28"/>
          <w:lang w:val="kk-KZ"/>
        </w:rPr>
        <w:t>ймыз.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4F1CB7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Бұл бағыттағы жұмыс жалғасуда және Үкіметтің тұрақты бақылауында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тұр</w:t>
      </w:r>
      <w:r w:rsidRPr="004F1CB7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.</w:t>
      </w: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</w:p>
    <w:p w:rsidR="00F127A3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</w:p>
    <w:p w:rsidR="0072694E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B9E">
        <w:rPr>
          <w:rFonts w:ascii="Times New Roman" w:hAnsi="Times New Roman" w:cs="Times New Roman"/>
          <w:b/>
          <w:sz w:val="28"/>
          <w:szCs w:val="28"/>
          <w:lang w:val="kk-KZ"/>
        </w:rPr>
        <w:t>Ә. Смайылов</w:t>
      </w:r>
    </w:p>
    <w:p w:rsidR="007421DA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1DA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1DA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83F" w:rsidP="0072694E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7A3" w:rsidP="007421DA">
      <w:pPr>
        <w:spacing w:after="0" w:line="240" w:lineRule="auto"/>
        <w:ind w:firstLine="142"/>
        <w:rPr>
          <w:rFonts w:ascii="Times New Roman" w:hAnsi="Times New Roman" w:cs="Times New Roman"/>
          <w:i/>
          <w:szCs w:val="16"/>
          <w:lang w:val="kk-KZ"/>
        </w:rPr>
      </w:pPr>
    </w:p>
    <w:p w:rsidR="007421DA" w:rsidP="007421DA">
      <w:pPr>
        <w:spacing w:after="0" w:line="240" w:lineRule="auto"/>
        <w:ind w:firstLine="142"/>
        <w:rPr>
          <w:rFonts w:ascii="Times New Roman" w:hAnsi="Times New Roman" w:cs="Times New Roman"/>
          <w:i/>
          <w:szCs w:val="16"/>
          <w:lang w:val="kk-KZ"/>
        </w:rPr>
      </w:pPr>
      <w:r w:rsidRPr="00522BFA">
        <w:rPr>
          <w:rFonts w:ascii="Times New Roman" w:hAnsi="Times New Roman" w:cs="Times New Roman"/>
          <w:i/>
          <w:szCs w:val="16"/>
          <w:lang w:val="kk-KZ"/>
        </w:rPr>
        <w:t xml:space="preserve">орын. А. </w:t>
      </w:r>
      <w:r>
        <w:rPr>
          <w:rFonts w:ascii="Times New Roman" w:hAnsi="Times New Roman" w:cs="Times New Roman"/>
          <w:i/>
          <w:szCs w:val="16"/>
          <w:lang w:val="kk-KZ"/>
        </w:rPr>
        <w:t>Рахимова</w:t>
      </w:r>
    </w:p>
    <w:p w:rsidR="0072694E" w:rsidRPr="00DD7DBA" w:rsidP="00DB4F5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2BFA">
        <w:rPr>
          <w:rFonts w:ascii="Times New Roman" w:hAnsi="Times New Roman" w:cs="Times New Roman"/>
          <w:i/>
          <w:szCs w:val="16"/>
          <w:lang w:val="kk-KZ"/>
        </w:rPr>
        <w:t>тел.74-</w:t>
      </w:r>
      <w:r>
        <w:rPr>
          <w:rFonts w:ascii="Times New Roman" w:hAnsi="Times New Roman" w:cs="Times New Roman"/>
          <w:i/>
          <w:szCs w:val="16"/>
          <w:lang w:val="kk-KZ"/>
        </w:rPr>
        <w:t>53</w:t>
      </w:r>
      <w:r w:rsidRPr="00522BFA">
        <w:rPr>
          <w:rFonts w:ascii="Times New Roman" w:hAnsi="Times New Roman" w:cs="Times New Roman"/>
          <w:i/>
          <w:szCs w:val="16"/>
          <w:lang w:val="kk-KZ"/>
        </w:rPr>
        <w:t>-</w:t>
      </w:r>
      <w:r>
        <w:rPr>
          <w:rFonts w:ascii="Times New Roman" w:hAnsi="Times New Roman" w:cs="Times New Roman"/>
          <w:i/>
          <w:szCs w:val="16"/>
          <w:lang w:val="kk-KZ"/>
        </w:rPr>
        <w:t>47</w:t>
      </w:r>
    </w:p>
    <w:sectPr w:rsidSect="002600F9">
      <w:headerReference w:type="default" r:id="rId5"/>
      <w:headerReference w:type="first" r:id="rId6"/>
      <w:pgSz w:w="11906" w:h="16838"/>
      <w:pgMar w:top="1418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47512655"/>
      <w:docPartObj>
        <w:docPartGallery w:val="Page Numbers (Top of Page)"/>
        <w:docPartUnique/>
      </w:docPartObj>
    </w:sdtPr>
    <w:sdtContent>
      <w:p w:rsidR="00047266">
        <w:pPr>
          <w:pStyle w:val="Header"/>
          <w:jc w:val="center"/>
        </w:pPr>
      </w:p>
      <w:p w:rsidR="000472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A3">
          <w:rPr>
            <w:noProof/>
          </w:rPr>
          <w:t>3</w:t>
        </w:r>
        <w:r>
          <w:fldChar w:fldCharType="end"/>
        </w:r>
      </w:p>
    </w:sdtContent>
  </w:sdt>
  <w:p w:rsidR="00047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AA3" w:rsidRPr="00B71A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10.08.2022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71AA3" w:rsidRPr="00B71A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10.08.2022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iOFNIvZmqLV1yv6dpCPHbMZ5y7IXub5nVCvKqRh9Owqv9/9IloRd+0OoKkx/mi8eVDc+OwEBaaz&#10;DOSC+EOOGQ==&#10;" w:salt="aTFMq0ZROn0F1MBggrccm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customStyle="1" w:styleId="Default">
    <w:name w:val="Default"/>
    <w:rsid w:val="00CD2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a2"/>
    <w:uiPriority w:val="99"/>
    <w:semiHidden/>
    <w:unhideWhenUsed/>
    <w:rsid w:val="00AB1636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AB16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B560-621C-4FC6-B4CE-A8293C3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997</Words>
  <Characters>5689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76</cp:revision>
</cp:coreProperties>
</file>