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Look w:val="0000"/>
      </w:tblPr>
      <w:tblGrid>
        <w:gridCol w:w="9354"/>
      </w:tblGrid>
      <w:tr>
        <w:tblPrEx>
          <w:tblW w:w="0" w:type="auto"/>
          <w:tblLayout w:type="fixed"/>
          <w:tblLook w:val="0000"/>
        </w:tblPrEx>
        <w:tc>
          <w:tcPr>
            <w:tcW w:w="935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0" w:type="dxa"/>
                <w:bottom w:w="0" w:type="dxa"/>
              </w:tblCellMar>
              <w:tblLook w:val="0000"/>
            </w:tblPr>
            <w:tblGrid>
              <w:gridCol w:w="9138"/>
            </w:tblGrid>
            <w:tr w:rsidTr="00A70AED">
              <w:tblPrEx>
                <w:tblW w:w="0" w:type="auto"/>
                <w:tblLayout w:type="fixed"/>
                <w:tblCellMar>
                  <w:top w:w="0" w:type="dxa"/>
                  <w:bottom w:w="0" w:type="dxa"/>
                </w:tblCellMar>
                <w:tblLook w:val="0000"/>
              </w:tblPrEx>
              <w:tc>
                <w:tcPr>
                  <w:tcW w:w="9138" w:type="dxa"/>
                  <w:shd w:val="clear" w:color="auto" w:fill="auto"/>
                </w:tcPr>
                <w:p w:rsidR="00A70AED" w:rsidRPr="00A70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8"/>
                      <w:lang w:val="kk-KZ" w:eastAsia="ru-RU"/>
                    </w:rPr>
                    <w:t>№ исх: 16-13-125Д/С   от: 30.04.2022</w:t>
                  </w:r>
                </w:p>
              </w:tc>
            </w:tr>
          </w:tbl>
          <w:p w:rsidR="00C7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C71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0.65pt;margin-top:-4.75pt;position:absolute;width:498.7pt;z-index:-251658240" o:oleicon="f">
            <v:imagedata r:id="rId5" o:title=""/>
          </v:shape>
          <o:OLEObject Type="Embed" ProgID="CorelDRAW.Graphic.14" ShapeID="_x0000_s1025" DrawAspect="Content" ObjectID="_1712757757" r:id="rId6"/>
        </w:pict>
      </w:r>
    </w:p>
    <w:p w:rsidR="00C71F6E">
      <w:pPr>
        <w:spacing w:after="0" w:line="276" w:lineRule="auto"/>
        <w:ind w:left="5670" w:right="175" w:firstLine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1F6E">
      <w:pPr>
        <w:spacing w:after="0" w:line="276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1F6E">
      <w:pPr>
        <w:spacing w:after="0" w:line="276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1F6E">
      <w:pPr>
        <w:spacing w:after="0" w:line="276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1F6E">
      <w:pPr>
        <w:spacing w:after="0" w:line="276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1F6E">
      <w:pPr>
        <w:spacing w:after="0" w:line="276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1F6E">
      <w:pPr>
        <w:spacing w:after="0" w:line="276" w:lineRule="auto"/>
        <w:ind w:right="17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71F6E">
      <w:pPr>
        <w:spacing w:after="0" w:line="276" w:lineRule="auto"/>
        <w:ind w:left="-142" w:right="175"/>
        <w:rPr>
          <w:rFonts w:ascii="Times New Roman" w:eastAsia="Times New Roman" w:hAnsi="Times New Roman" w:cs="Times New Roman"/>
          <w:b/>
          <w:sz w:val="40"/>
          <w:szCs w:val="28"/>
          <w:lang w:val="kk-KZ" w:eastAsia="ru-RU"/>
        </w:rPr>
      </w:pPr>
    </w:p>
    <w:p w:rsidR="00C71F6E">
      <w:pPr>
        <w:spacing w:after="0" w:line="276" w:lineRule="auto"/>
        <w:ind w:right="175" w:hanging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71F6E">
      <w:pPr>
        <w:spacing w:after="0" w:line="276" w:lineRule="auto"/>
        <w:ind w:right="175" w:hanging="142"/>
        <w:rPr>
          <w:rFonts w:ascii="Times New Roman" w:eastAsia="Times New Roman" w:hAnsi="Times New Roman" w:cs="Times New Roman"/>
          <w:b/>
          <w:sz w:val="10"/>
          <w:szCs w:val="28"/>
          <w:lang w:val="kk-KZ" w:eastAsia="ru-RU"/>
        </w:rPr>
      </w:pPr>
    </w:p>
    <w:p w:rsidR="00C71F6E">
      <w:pPr>
        <w:spacing w:after="0" w:line="276" w:lineRule="auto"/>
        <w:ind w:right="175" w:hanging="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71F6E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</w:p>
    <w:p w:rsidR="00C71F6E">
      <w:pPr>
        <w:tabs>
          <w:tab w:val="left" w:pos="7853"/>
        </w:tabs>
        <w:spacing w:after="0" w:line="360" w:lineRule="auto"/>
        <w:jc w:val="right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Премьер-Министру</w:t>
      </w:r>
    </w:p>
    <w:p w:rsidR="00C71F6E">
      <w:pPr>
        <w:spacing w:after="0" w:line="360" w:lineRule="auto"/>
        <w:jc w:val="right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Республики Казахстан</w:t>
      </w:r>
    </w:p>
    <w:p w:rsidR="00C71F6E">
      <w:pPr>
        <w:spacing w:after="0" w:line="360" w:lineRule="auto"/>
        <w:jc w:val="right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Смаилову А.А.</w:t>
      </w:r>
    </w:p>
    <w:p w:rsidR="00C71F6E">
      <w:pPr>
        <w:spacing w:after="0" w:line="360" w:lineRule="auto"/>
        <w:jc w:val="right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</w:p>
    <w:p w:rsidR="00C71F6E">
      <w:pPr>
        <w:spacing w:after="0" w:line="360" w:lineRule="auto"/>
        <w:jc w:val="right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</w:p>
    <w:p w:rsidR="00C71F6E">
      <w:pPr>
        <w:spacing w:after="0" w:line="360" w:lineRule="auto"/>
        <w:jc w:val="center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Уважаемый Алихан Асханович!</w:t>
      </w:r>
    </w:p>
    <w:p w:rsidR="00C71F6E">
      <w:pPr>
        <w:spacing w:after="0" w:line="360" w:lineRule="auto"/>
        <w:jc w:val="center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</w:p>
    <w:p w:rsidR="00C71F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депутатский запрос касается нового порядка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АО «Самрук – Казына» (далее – Фонд), введенного в действие с 1 апреля 2022 года. </w:t>
      </w:r>
    </w:p>
    <w:p w:rsidR="00C71F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трудно представить сферу деятельности, которая не вызывала бы столько нареканий в течение достаточно длительного периода времени. Особенно </w:t>
      </w:r>
      <w:r>
        <w:rPr>
          <w:rFonts w:ascii="Times New Roman" w:hAnsi="Times New Roman" w:cs="Times New Roman"/>
          <w:sz w:val="28"/>
          <w:szCs w:val="28"/>
        </w:rPr>
        <w:t xml:space="preserve">в части ее недостаточной транспарентности, прозрачности, высокой степени кулуарности, коррупциогенности и завышенных цен. </w:t>
      </w:r>
    </w:p>
    <w:p w:rsidR="00C71F6E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ab/>
        <w:t>1 сентября 2020 года в своем Послании народу Казахстана «Казахстан в новой реальности: время действий» Президент страны отметил, что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система закупок в национальных компаниях все еще остается непрозрачной и малодоступной для рядовых предпринимателей. Поэтому было поручено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разработать единый закон, распространяющийся на все закупки квазигосударственного сектора.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Во исполнение поручений </w:t>
      </w:r>
      <w:r>
        <w:rPr>
          <w:rFonts w:ascii="Times New Roman" w:hAnsi="Times New Roman" w:cs="Times New Roman"/>
          <w:color w:val="212529"/>
          <w:sz w:val="28"/>
          <w:szCs w:val="28"/>
        </w:rPr>
        <w:t>Президента страны Фонд разработал новый порядок осуществления закупок. Однако</w:t>
      </w:r>
      <w:r>
        <w:rPr>
          <w:rFonts w:ascii="Times New Roman" w:hAnsi="Times New Roman" w:cs="Times New Roman"/>
          <w:sz w:val="28"/>
          <w:szCs w:val="28"/>
        </w:rPr>
        <w:t xml:space="preserve"> бизнес сообщество и эксперты, проанализировав «измененные» правила заявляют, что в реальности Фонд так и не решил вопрос добросовестной конкуренции и равенства субъектов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имательства. Более того они считают, что новый порядок расширил условия для коррупции.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сказать, что были большие надежды на серьезные меры, поскольку п</w:t>
      </w:r>
      <w:r>
        <w:rPr>
          <w:rFonts w:ascii="Times New Roman" w:hAnsi="Times New Roman"/>
          <w:sz w:val="28"/>
          <w:szCs w:val="28"/>
        </w:rPr>
        <w:t>редставители малого и среднего бизнеса не первый год и на системной основе стараются довести до Пра</w:t>
      </w:r>
      <w:r>
        <w:rPr>
          <w:rFonts w:ascii="Times New Roman" w:hAnsi="Times New Roman"/>
          <w:sz w:val="28"/>
          <w:szCs w:val="28"/>
        </w:rPr>
        <w:t xml:space="preserve">вительства, Национальной палаты «Атамекен», компетентных государственных органов свои проблемы, связанные с ограниченным доступом к закупкам Фонда.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поручения Президента страны бизнес ожидал качественных изменений в виде новых демократичных правил в </w:t>
      </w:r>
      <w:r>
        <w:rPr>
          <w:rFonts w:ascii="Times New Roman" w:hAnsi="Times New Roman"/>
          <w:sz w:val="28"/>
          <w:szCs w:val="28"/>
        </w:rPr>
        <w:t>сфере закупок. Но, исходя из анализа материалов средств массовой информации, критических оценок экспертов, можно заключить, что практически ничего не поменялось в лучшую сторону. Анонсированные Фондом изменения в части системы закупок оказались косметическ</w:t>
      </w:r>
      <w:r>
        <w:rPr>
          <w:rFonts w:ascii="Times New Roman" w:hAnsi="Times New Roman"/>
          <w:sz w:val="28"/>
          <w:szCs w:val="28"/>
        </w:rPr>
        <w:t xml:space="preserve">ими и бутафорскими.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экспертное сообщество указывает, что </w:t>
      </w:r>
      <w:r>
        <w:rPr>
          <w:rFonts w:ascii="Times New Roman" w:hAnsi="Times New Roman"/>
          <w:b/>
          <w:bCs/>
          <w:sz w:val="28"/>
          <w:szCs w:val="28"/>
        </w:rPr>
        <w:t>«в новых правилах, вступивших в силу 1 апреля 2022 года, из способов закупок исключен закуп в рамках внутрихолдинговой кооперации, к которому было много вопросов. Но как оказалось он ни</w:t>
      </w:r>
      <w:r>
        <w:rPr>
          <w:rFonts w:ascii="Times New Roman" w:hAnsi="Times New Roman"/>
          <w:b/>
          <w:bCs/>
          <w:sz w:val="28"/>
          <w:szCs w:val="28"/>
        </w:rPr>
        <w:t xml:space="preserve">куда не делся, а мягко перешел в способ «закуп из одного источника» с расширением перечня работ и услуг». </w:t>
      </w:r>
      <w:r>
        <w:rPr>
          <w:rFonts w:ascii="Times New Roman" w:hAnsi="Times New Roman"/>
          <w:bCs/>
          <w:sz w:val="28"/>
          <w:szCs w:val="28"/>
        </w:rPr>
        <w:t xml:space="preserve">То есть, портфельные организации Фонда </w:t>
      </w:r>
      <w:r>
        <w:rPr>
          <w:rFonts w:ascii="Times New Roman" w:hAnsi="Times New Roman"/>
          <w:b/>
          <w:bCs/>
          <w:sz w:val="28"/>
          <w:szCs w:val="28"/>
        </w:rPr>
        <w:t>имели и сохранили привилегированное положение</w:t>
      </w:r>
      <w:r>
        <w:rPr>
          <w:rFonts w:ascii="Times New Roman" w:hAnsi="Times New Roman"/>
          <w:bCs/>
          <w:sz w:val="28"/>
          <w:szCs w:val="28"/>
        </w:rPr>
        <w:t xml:space="preserve"> по отношению к другим предпринимателям.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Более того, на указанные </w:t>
      </w:r>
      <w:r>
        <w:rPr>
          <w:rFonts w:ascii="Times New Roman" w:hAnsi="Times New Roman"/>
          <w:bCs/>
          <w:sz w:val="28"/>
          <w:szCs w:val="28"/>
        </w:rPr>
        <w:t>организации Фонда</w:t>
      </w:r>
      <w:r>
        <w:rPr>
          <w:rFonts w:ascii="Times New Roman" w:hAnsi="Times New Roman"/>
          <w:b/>
          <w:bCs/>
          <w:sz w:val="28"/>
          <w:szCs w:val="28"/>
        </w:rPr>
        <w:t xml:space="preserve"> не распространяются требования Порядка осуществления закупок в части самостоятельного выполнения не менее двух третей (2/3) объема по выполнению работ, </w:t>
      </w:r>
      <w:r>
        <w:rPr>
          <w:rFonts w:ascii="Times New Roman" w:hAnsi="Times New Roman"/>
          <w:b/>
          <w:bCs/>
          <w:sz w:val="28"/>
          <w:szCs w:val="28"/>
        </w:rPr>
        <w:t xml:space="preserve">оказания услуг. </w:t>
      </w:r>
      <w:r>
        <w:rPr>
          <w:rFonts w:ascii="Times New Roman" w:hAnsi="Times New Roman"/>
          <w:bCs/>
          <w:sz w:val="28"/>
          <w:szCs w:val="28"/>
        </w:rPr>
        <w:t xml:space="preserve">Данные организации могут </w:t>
      </w:r>
      <w:r>
        <w:rPr>
          <w:rFonts w:ascii="Times New Roman" w:hAnsi="Times New Roman"/>
          <w:b/>
          <w:bCs/>
          <w:sz w:val="28"/>
          <w:szCs w:val="28"/>
        </w:rPr>
        <w:t xml:space="preserve">просто передать в субподряд стопроцентный </w:t>
      </w:r>
      <w:r>
        <w:rPr>
          <w:rFonts w:ascii="Times New Roman" w:hAnsi="Times New Roman"/>
          <w:bCs/>
          <w:sz w:val="28"/>
          <w:szCs w:val="28"/>
        </w:rPr>
        <w:t>объ</w:t>
      </w:r>
      <w:r>
        <w:rPr>
          <w:rFonts w:ascii="Times New Roman" w:hAnsi="Times New Roman"/>
          <w:bCs/>
          <w:sz w:val="28"/>
          <w:szCs w:val="28"/>
        </w:rPr>
        <w:t>ем выполнения работ, оказани</w:t>
      </w:r>
      <w:r>
        <w:rPr>
          <w:rFonts w:ascii="Times New Roman" w:hAnsi="Times New Roman"/>
          <w:bCs/>
          <w:sz w:val="28"/>
          <w:szCs w:val="28"/>
          <w:lang w:val="kk-KZ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услуг, полученный ими с одного источника от Фонда.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 возникает вопрос - </w:t>
      </w:r>
      <w:r>
        <w:rPr>
          <w:rFonts w:ascii="Times New Roman" w:hAnsi="Times New Roman"/>
          <w:b/>
          <w:sz w:val="28"/>
          <w:szCs w:val="28"/>
        </w:rPr>
        <w:t xml:space="preserve">где здесь изменения, предусматривающие расширение и развитие конкурентной среды?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отметим, что</w:t>
      </w:r>
      <w:r>
        <w:rPr>
          <w:rFonts w:ascii="Times New Roman" w:hAnsi="Times New Roman"/>
          <w:sz w:val="28"/>
          <w:szCs w:val="28"/>
        </w:rPr>
        <w:t xml:space="preserve"> в 2021 году закупки внутрихолди</w:t>
      </w:r>
      <w:r>
        <w:rPr>
          <w:rFonts w:ascii="Times New Roman" w:hAnsi="Times New Roman"/>
          <w:sz w:val="28"/>
          <w:szCs w:val="28"/>
        </w:rPr>
        <w:t xml:space="preserve">нговой кооперации Фонда составили </w:t>
      </w:r>
      <w:r>
        <w:rPr>
          <w:rFonts w:ascii="Times New Roman" w:hAnsi="Times New Roman"/>
          <w:b/>
          <w:sz w:val="28"/>
          <w:szCs w:val="28"/>
        </w:rPr>
        <w:t>25%</w:t>
      </w:r>
      <w:r>
        <w:rPr>
          <w:rFonts w:ascii="Times New Roman" w:hAnsi="Times New Roman"/>
          <w:sz w:val="28"/>
          <w:szCs w:val="28"/>
        </w:rPr>
        <w:t xml:space="preserve"> от общего объема закупок. Весь объём закупок Фонда составил </w:t>
      </w:r>
      <w:r>
        <w:rPr>
          <w:rFonts w:ascii="Times New Roman" w:hAnsi="Times New Roman"/>
          <w:b/>
          <w:sz w:val="28"/>
          <w:szCs w:val="28"/>
        </w:rPr>
        <w:t>3,4 трлн.</w:t>
      </w:r>
      <w:r>
        <w:rPr>
          <w:rFonts w:ascii="Times New Roman" w:hAnsi="Times New Roman"/>
          <w:sz w:val="28"/>
          <w:szCs w:val="28"/>
        </w:rPr>
        <w:t xml:space="preserve"> тенге. </w:t>
      </w:r>
      <w:r>
        <w:rPr>
          <w:rFonts w:ascii="Times New Roman" w:hAnsi="Times New Roman"/>
          <w:bCs/>
          <w:sz w:val="28"/>
          <w:szCs w:val="28"/>
        </w:rPr>
        <w:t>При этом на открытый тендер было выведено только</w:t>
      </w:r>
      <w:r>
        <w:rPr>
          <w:rFonts w:ascii="Times New Roman" w:hAnsi="Times New Roman"/>
          <w:b/>
          <w:bCs/>
          <w:sz w:val="28"/>
          <w:szCs w:val="28"/>
        </w:rPr>
        <w:t xml:space="preserve"> 18% объема закупок, 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«по итогам мониторинга годовых и долгосрочных планов закупок портфельн</w:t>
      </w:r>
      <w:r>
        <w:rPr>
          <w:rFonts w:ascii="Times New Roman" w:hAnsi="Times New Roman"/>
          <w:b/>
          <w:bCs/>
          <w:sz w:val="28"/>
          <w:szCs w:val="28"/>
        </w:rPr>
        <w:t xml:space="preserve">ых компаний фонда на 2020 - 2025 годы стало известно, что закупки по конкурентным позициям планируются также посредством внутрихолдинговой кооперации».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 казахстанский экономист Меруерт Махмутова по этой проблеме привела в пример результаты исслед</w:t>
      </w:r>
      <w:r>
        <w:rPr>
          <w:rFonts w:ascii="Times New Roman" w:hAnsi="Times New Roman"/>
          <w:sz w:val="28"/>
          <w:szCs w:val="28"/>
        </w:rPr>
        <w:t xml:space="preserve">ований Всемирного банка, проведенных несколько лет назад. Так, Всемирный </w:t>
      </w:r>
      <w:r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</w:rPr>
        <w:t xml:space="preserve">анк отметил, что закупки Фонда </w:t>
      </w:r>
      <w:r>
        <w:rPr>
          <w:rFonts w:ascii="Times New Roman" w:hAnsi="Times New Roman"/>
          <w:b/>
          <w:sz w:val="28"/>
          <w:szCs w:val="28"/>
        </w:rPr>
        <w:t>в три раза превышают государственные закупки.</w:t>
      </w:r>
      <w:r>
        <w:rPr>
          <w:rFonts w:ascii="Times New Roman" w:hAnsi="Times New Roman"/>
          <w:sz w:val="28"/>
          <w:szCs w:val="28"/>
        </w:rPr>
        <w:t xml:space="preserve"> Эксперты международного финансового института отметили, что </w:t>
      </w:r>
      <w:r>
        <w:rPr>
          <w:rFonts w:ascii="Times New Roman" w:hAnsi="Times New Roman"/>
          <w:b/>
          <w:sz w:val="28"/>
          <w:szCs w:val="28"/>
        </w:rPr>
        <w:t xml:space="preserve">87% закупок </w:t>
      </w:r>
      <w:r>
        <w:rPr>
          <w:rFonts w:ascii="Times New Roman" w:hAnsi="Times New Roman"/>
          <w:sz w:val="28"/>
          <w:szCs w:val="28"/>
        </w:rPr>
        <w:t xml:space="preserve">осуществляются на неконкурентной </w:t>
      </w:r>
      <w:r>
        <w:rPr>
          <w:rFonts w:ascii="Times New Roman" w:hAnsi="Times New Roman"/>
          <w:sz w:val="28"/>
          <w:szCs w:val="28"/>
        </w:rPr>
        <w:t xml:space="preserve">основе. Именно поэтому Президент поставил конкретную задачу по трансформации как самого Фонда, так и пересмотра его политики закупок, которая на сегодня, мягко говоря, не совсем чистая.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что Фонд еще не уловил изменение политики по отношению к бизнесу за счет государства. 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убеждение, что Правительство не должно оставлять данный вопрос в его нынешнем виде. Иначе мы рискуем не только окончательно потерять доверие бизнеса, котор</w:t>
      </w:r>
      <w:r>
        <w:rPr>
          <w:rFonts w:ascii="Times New Roman" w:hAnsi="Times New Roman"/>
          <w:sz w:val="28"/>
          <w:szCs w:val="28"/>
        </w:rPr>
        <w:t xml:space="preserve">ый после двухлетнего пандемийного шока старается адаптироваться к болезненным последствиям нарастающего санкционного давления из-за российского-украинского конфликта. Кроме того, мы не сможем </w:t>
      </w:r>
      <w:r>
        <w:rPr>
          <w:rFonts w:ascii="Times New Roman" w:hAnsi="Times New Roman"/>
          <w:sz w:val="28"/>
          <w:szCs w:val="28"/>
        </w:rPr>
        <w:t>выстроить конкурентную и прозрачную среду для роста казахстанско</w:t>
      </w:r>
      <w:r>
        <w:rPr>
          <w:rFonts w:ascii="Times New Roman" w:hAnsi="Times New Roman"/>
          <w:sz w:val="28"/>
          <w:szCs w:val="28"/>
        </w:rPr>
        <w:t>го предпринимательства в рамках строительства Нового Казахстана.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 w:eastAsiaTheme="minorEastAsia" w:cs="Times New Roman"/>
          <w:color w:val="000000"/>
          <w:sz w:val="28"/>
          <w:szCs w:val="28"/>
        </w:rPr>
      </w:pP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Таким образом считаю, что Фонд </w:t>
      </w:r>
      <w:r>
        <w:rPr>
          <w:rFonts w:ascii="Times New Roman" w:hAnsi="Times New Roman" w:eastAsiaTheme="minorEastAsia" w:cs="Times New Roman"/>
          <w:b/>
          <w:color w:val="000000"/>
          <w:sz w:val="28"/>
          <w:szCs w:val="28"/>
        </w:rPr>
        <w:t>формально подошел к исполнению поручения Главы государства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 в вопросах исключения </w:t>
      </w:r>
      <w:r>
        <w:rPr>
          <w:rFonts w:ascii="Times New Roman" w:hAnsi="Times New Roman" w:eastAsiaTheme="minorEastAsia" w:cs="Times New Roman"/>
          <w:b/>
          <w:color w:val="000000"/>
          <w:sz w:val="28"/>
          <w:szCs w:val="28"/>
        </w:rPr>
        <w:t>«кулуарности», «непрозрачности», «завышения цен»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 в вопросах закупок. Нормы поря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>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закупок Фонда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, которые нарушают принципы добросовестной конкуренции и равенства субъектов предпринимательства </w:t>
      </w:r>
      <w:r>
        <w:rPr>
          <w:rFonts w:ascii="Times New Roman" w:hAnsi="Times New Roman" w:eastAsiaTheme="minorEastAsia" w:cs="Times New Roman"/>
          <w:b/>
          <w:color w:val="000000"/>
          <w:sz w:val="28"/>
          <w:szCs w:val="28"/>
        </w:rPr>
        <w:t>не исключены, а просто завуалированы в других нормах.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  Также, на наш взгляд, не устранены и нормы, создающие условия для коррупц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>ии.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 w:eastAsiaTheme="minorEastAsia" w:cs="Times New Roman"/>
          <w:color w:val="000000"/>
          <w:sz w:val="28"/>
          <w:szCs w:val="28"/>
        </w:rPr>
      </w:pP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>Предлагаю, если Фонд не хочет добровольно, сделать принудительно прозрачным вопрос закупок через опубликование полного списка тех счастливчиков, осваивающих бюджеты, а также создать компетентную комиссию из числа депутатов и сотрудников Счетного Комите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та и Агентства 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 xml:space="preserve">Республики Казахстан 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>противодействию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 коррупци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>и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 для сопоставления закупочных цен Фонда с рыночными и сделать соответствующие действия, чтобы прекратить необоснованные закупки из одного источника. </w:t>
      </w:r>
    </w:p>
    <w:p w:rsidR="00C71F6E">
      <w:pPr>
        <w:spacing w:after="0" w:line="360" w:lineRule="auto"/>
        <w:ind w:firstLine="708"/>
        <w:jc w:val="both"/>
        <w:rPr>
          <w:rFonts w:ascii="Times New Roman" w:hAnsi="Times New Roman" w:eastAsiaTheme="minorEastAsia" w:cs="Times New Roman"/>
          <w:color w:val="000000"/>
          <w:sz w:val="28"/>
          <w:szCs w:val="28"/>
        </w:rPr>
      </w:pP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>На основании изложенного, уважаемый Алихан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 xml:space="preserve"> Асханович, просим рассмотреть данный депутатский запрос. О принятом решении просим предоставить ответ в письменном виде в установленные законом сроки и порядке.</w:t>
      </w:r>
    </w:p>
    <w:p w:rsidR="00196B27">
      <w:pPr>
        <w:spacing w:after="0" w:line="360" w:lineRule="auto"/>
        <w:ind w:firstLine="708"/>
        <w:jc w:val="both"/>
        <w:rPr>
          <w:rFonts w:ascii="Times New Roman" w:hAnsi="Times New Roman" w:eastAsiaTheme="minorEastAsia" w:cs="Times New Roman"/>
          <w:color w:val="000000"/>
          <w:sz w:val="28"/>
          <w:szCs w:val="28"/>
        </w:rPr>
      </w:pPr>
    </w:p>
    <w:p w:rsidR="00C71F6E">
      <w:pPr>
        <w:spacing w:after="0" w:line="360" w:lineRule="auto"/>
        <w:ind w:firstLine="708"/>
        <w:jc w:val="both"/>
        <w:rPr>
          <w:rFonts w:ascii="Times New Roman" w:hAnsi="Times New Roman" w:eastAsiaTheme="minorEastAsia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Theme="minorEastAsia" w:cs="Times New Roman"/>
          <w:color w:val="000000"/>
          <w:sz w:val="28"/>
          <w:szCs w:val="28"/>
        </w:rPr>
        <w:t>С уважением,</w:t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eastAsiaTheme="minorEastAsia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eastAsiaTheme="minorEastAsia" w:cs="Times New Roman"/>
          <w:b/>
          <w:color w:val="000000"/>
          <w:sz w:val="28"/>
          <w:szCs w:val="28"/>
          <w:lang w:val="kk-KZ"/>
        </w:rPr>
        <w:t>Е. Мамыт</w:t>
      </w:r>
      <w:r>
        <w:rPr>
          <w:rFonts w:ascii="Times New Roman" w:hAnsi="Times New Roman" w:eastAsiaTheme="minorEastAsia" w:cs="Times New Roman"/>
          <w:b/>
          <w:color w:val="000000"/>
          <w:sz w:val="28"/>
          <w:szCs w:val="28"/>
        </w:rPr>
        <w:t>беков</w:t>
      </w:r>
    </w:p>
    <w:p w:rsidR="00A70AED">
      <w:pPr>
        <w:spacing w:after="0" w:line="360" w:lineRule="auto"/>
        <w:ind w:firstLine="708"/>
        <w:jc w:val="both"/>
        <w:rPr>
          <w:rFonts w:ascii="Times New Roman" w:hAnsi="Times New Roman" w:eastAsiaTheme="minorEastAsia" w:cs="Times New Roman"/>
          <w:b/>
          <w:color w:val="000000"/>
          <w:sz w:val="28"/>
          <w:szCs w:val="28"/>
        </w:rPr>
      </w:pPr>
    </w:p>
    <w:sectPr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AED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AED" w:rsidRPr="00A70AE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29.04.2022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70AED" w:rsidRPr="00A70AE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29.04.2022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12532"/>
      <w:docPartObj>
        <w:docPartGallery w:val="Page Numbers (Top of Page)"/>
        <w:docPartUnique/>
      </w:docPartObj>
    </w:sdtPr>
    <w:sdtContent>
      <w:p w:rsidR="00C71F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B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1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</w:style>
  <w:style w:type="paragraph" w:styleId="BalloonText">
    <w:name w:val="Balloon Text"/>
    <w:basedOn w:val="Normal"/>
    <w:link w:val="a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18C3-D19F-4787-8526-4BA3AFC3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