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853"/>
      </w:tblGrid>
      <w:tr w:rsidTr="00974930">
        <w:tblPrEx>
          <w:tblW w:w="0" w:type="auto"/>
          <w:tblLayout w:type="fixed"/>
          <w:tblCellMar>
            <w:top w:w="0" w:type="dxa"/>
            <w:bottom w:w="0" w:type="dxa"/>
          </w:tblCellMar>
          <w:tblLook w:val="0000"/>
        </w:tblPrEx>
        <w:tc>
          <w:tcPr>
            <w:tcW w:w="9853" w:type="dxa"/>
            <w:shd w:val="clear" w:color="auto" w:fill="auto"/>
          </w:tcPr>
          <w:p w:rsidR="00974930" w:rsidP="00486C7A">
            <w:pPr>
              <w:pStyle w:val="NormalWeb"/>
              <w:spacing w:before="0" w:beforeAutospacing="0" w:after="0" w:afterAutospacing="0"/>
              <w:jc w:val="right"/>
              <w:rPr>
                <w:color w:val="0C0000"/>
                <w:lang w:val="kk-KZ"/>
              </w:rPr>
            </w:pPr>
            <w:bookmarkStart w:id="0" w:name="_GoBack"/>
            <w:bookmarkEnd w:id="0"/>
            <w:r>
              <w:rPr>
                <w:color w:val="0C0000"/>
                <w:lang w:val="kk-KZ"/>
              </w:rPr>
              <w:t>25.11.2021-ғы № 17-09/6646 дз шығыс хаты</w:t>
            </w:r>
          </w:p>
          <w:p w:rsidR="00974930" w:rsidRPr="00974930" w:rsidP="00486C7A">
            <w:pPr>
              <w:pStyle w:val="NormalWeb"/>
              <w:spacing w:before="0" w:beforeAutospacing="0" w:after="0" w:afterAutospacing="0"/>
              <w:jc w:val="right"/>
              <w:rPr>
                <w:color w:val="0C0000"/>
                <w:lang w:val="kk-KZ"/>
              </w:rPr>
            </w:pPr>
            <w:r>
              <w:rPr>
                <w:color w:val="0C0000"/>
                <w:lang w:val="kk-KZ"/>
              </w:rPr>
              <w:t>26.11.2021-ғы № 4335//17-09/6646дз кіріс хаты</w:t>
            </w:r>
          </w:p>
        </w:tc>
      </w:tr>
    </w:tbl>
    <w:p w:rsidR="00486C7A" w:rsidRPr="00486C7A" w:rsidP="00486C7A">
      <w:pPr>
        <w:pStyle w:val="NormalWeb"/>
        <w:spacing w:before="0" w:beforeAutospacing="0" w:after="0" w:afterAutospacing="0"/>
        <w:jc w:val="right"/>
        <w:rPr>
          <w:i/>
          <w:lang w:val="kk-KZ"/>
        </w:rPr>
      </w:pPr>
      <w:r w:rsidRPr="00486C7A">
        <w:rPr>
          <w:i/>
          <w:lang w:val="kk-KZ"/>
        </w:rPr>
        <w:t>Қосымша</w:t>
      </w:r>
    </w:p>
    <w:p w:rsidR="00486C7A" w:rsidRPr="00486C7A" w:rsidP="00486C7A">
      <w:pPr>
        <w:pStyle w:val="NormalWeb"/>
        <w:spacing w:before="0" w:beforeAutospacing="0" w:after="0" w:afterAutospacing="0"/>
        <w:rPr>
          <w:lang w:val="kk-KZ"/>
        </w:rPr>
      </w:pPr>
    </w:p>
    <w:p w:rsidR="00486C7A" w:rsidP="00486C7A">
      <w:pPr>
        <w:pStyle w:val="NormalWeb"/>
        <w:spacing w:before="0" w:beforeAutospacing="0" w:after="0" w:afterAutospacing="0"/>
        <w:ind w:firstLine="708"/>
        <w:jc w:val="both"/>
        <w:rPr>
          <w:b/>
          <w:i/>
          <w:sz w:val="28"/>
          <w:szCs w:val="28"/>
          <w:lang w:val="kk-KZ"/>
        </w:rPr>
      </w:pPr>
      <w:r>
        <w:rPr>
          <w:b/>
          <w:i/>
          <w:sz w:val="28"/>
          <w:szCs w:val="28"/>
          <w:lang w:val="kk-KZ"/>
        </w:rPr>
        <w:t>Автомобиль жолдары бойынша</w:t>
      </w:r>
    </w:p>
    <w:p w:rsidR="00486C7A" w:rsidP="00486C7A">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Сауалнамада көтерілген автомобиль жолдарының төртеуі бойынша жалпы құны 2,7 млрд теңгені құрайтын 4 жобалау-сметалық құжаттама </w:t>
      </w:r>
      <w:r>
        <w:rPr>
          <w:rFonts w:ascii="Times New Roman" w:eastAsia="Calibri" w:hAnsi="Times New Roman" w:cs="Times New Roman"/>
          <w:i/>
          <w:szCs w:val="28"/>
          <w:lang w:val="kk-KZ"/>
        </w:rPr>
        <w:t>(бұдан әрі – ЖСҚ)</w:t>
      </w:r>
      <w:r>
        <w:rPr>
          <w:rFonts w:ascii="Times New Roman" w:eastAsia="Calibri" w:hAnsi="Times New Roman" w:cs="Times New Roman"/>
          <w:sz w:val="28"/>
          <w:szCs w:val="28"/>
          <w:lang w:val="kk-KZ"/>
        </w:rPr>
        <w:t xml:space="preserve"> әзірленді:</w:t>
      </w:r>
    </w:p>
    <w:p w:rsidR="00486C7A" w:rsidP="00486C7A">
      <w:pPr>
        <w:spacing w:after="0" w:line="240" w:lineRule="auto"/>
        <w:ind w:firstLine="709"/>
        <w:jc w:val="both"/>
        <w:rPr>
          <w:rFonts w:ascii="Times New Roman" w:eastAsia="Calibri" w:hAnsi="Times New Roman" w:cs="Times New Roman"/>
          <w:b/>
          <w:i/>
          <w:sz w:val="24"/>
          <w:szCs w:val="28"/>
          <w:lang w:val="kk-KZ"/>
        </w:rPr>
      </w:pPr>
      <w:r>
        <w:rPr>
          <w:rFonts w:ascii="Times New Roman" w:eastAsia="Calibri" w:hAnsi="Times New Roman" w:cs="Times New Roman"/>
          <w:b/>
          <w:i/>
          <w:sz w:val="24"/>
          <w:szCs w:val="28"/>
          <w:lang w:val="kk-KZ"/>
        </w:rPr>
        <w:t>Анықтама:</w:t>
      </w:r>
    </w:p>
    <w:p w:rsidR="00486C7A" w:rsidP="00486C7A">
      <w:pPr>
        <w:spacing w:after="0" w:line="240" w:lineRule="auto"/>
        <w:ind w:firstLine="709"/>
        <w:jc w:val="both"/>
        <w:rPr>
          <w:rFonts w:ascii="Times New Roman" w:eastAsia="Calibri" w:hAnsi="Times New Roman" w:cs="Times New Roman"/>
          <w:i/>
          <w:sz w:val="24"/>
          <w:szCs w:val="28"/>
          <w:lang w:val="kk-KZ"/>
        </w:rPr>
      </w:pPr>
      <w:r>
        <w:rPr>
          <w:rFonts w:ascii="Times New Roman" w:eastAsia="Calibri" w:hAnsi="Times New Roman" w:cs="Times New Roman"/>
          <w:i/>
          <w:sz w:val="24"/>
          <w:szCs w:val="28"/>
          <w:lang w:val="kk-KZ"/>
        </w:rPr>
        <w:t>-  «Саура» шатқалының кіреберісіне автомобиль жолын салу», жалпы ұзындығы – 8,3 км, сомасы 620 млн. теңге;</w:t>
      </w:r>
    </w:p>
    <w:p w:rsidR="00486C7A" w:rsidP="00486C7A">
      <w:pPr>
        <w:spacing w:after="0" w:line="240" w:lineRule="auto"/>
        <w:ind w:firstLine="709"/>
        <w:jc w:val="both"/>
        <w:rPr>
          <w:rFonts w:ascii="Times New Roman" w:eastAsia="Calibri" w:hAnsi="Times New Roman" w:cs="Times New Roman"/>
          <w:i/>
          <w:sz w:val="24"/>
          <w:szCs w:val="28"/>
          <w:lang w:val="kk-KZ"/>
        </w:rPr>
      </w:pPr>
      <w:r>
        <w:rPr>
          <w:rFonts w:ascii="Times New Roman" w:eastAsia="Calibri" w:hAnsi="Times New Roman" w:cs="Times New Roman"/>
          <w:i/>
          <w:sz w:val="24"/>
          <w:szCs w:val="28"/>
          <w:lang w:val="kk-KZ"/>
        </w:rPr>
        <w:t>-  «Тамшалы» шатқалының кіреберісіне автомобиль жолын салу», 20 км, 1 237 млн теңге;</w:t>
      </w:r>
    </w:p>
    <w:p w:rsidR="00486C7A" w:rsidP="00486C7A">
      <w:pPr>
        <w:spacing w:after="0" w:line="240" w:lineRule="auto"/>
        <w:ind w:firstLine="709"/>
        <w:jc w:val="both"/>
        <w:rPr>
          <w:rFonts w:ascii="Times New Roman" w:eastAsia="Calibri" w:hAnsi="Times New Roman" w:cs="Times New Roman"/>
          <w:i/>
          <w:sz w:val="24"/>
          <w:szCs w:val="28"/>
          <w:lang w:val="kk-KZ"/>
        </w:rPr>
      </w:pPr>
      <w:r>
        <w:rPr>
          <w:rFonts w:ascii="Times New Roman" w:eastAsia="Calibri" w:hAnsi="Times New Roman" w:cs="Times New Roman"/>
          <w:i/>
          <w:sz w:val="24"/>
          <w:szCs w:val="28"/>
          <w:lang w:val="kk-KZ"/>
        </w:rPr>
        <w:t>-  «Сұлтан-Епе» қорымына кіреберіс автомобиль жолын салу», 14,5 км, 823 млн теңге;</w:t>
      </w:r>
    </w:p>
    <w:p w:rsidR="00486C7A" w:rsidP="00486C7A">
      <w:pPr>
        <w:spacing w:after="0" w:line="240" w:lineRule="auto"/>
        <w:ind w:firstLine="709"/>
        <w:jc w:val="both"/>
        <w:rPr>
          <w:rFonts w:ascii="Times New Roman" w:eastAsia="Calibri" w:hAnsi="Times New Roman" w:cs="Times New Roman"/>
          <w:i/>
          <w:sz w:val="24"/>
          <w:szCs w:val="28"/>
          <w:lang w:val="kk-KZ"/>
        </w:rPr>
      </w:pPr>
      <w:r>
        <w:rPr>
          <w:rFonts w:ascii="Times New Roman" w:eastAsia="Calibri" w:hAnsi="Times New Roman" w:cs="Times New Roman"/>
          <w:i/>
          <w:sz w:val="24"/>
          <w:szCs w:val="28"/>
          <w:lang w:val="kk-KZ"/>
        </w:rPr>
        <w:t>- «Шақпақ-ата» қорымына кіреберіс автомобиль жолын салу», 3,7 км, 80 млн теңге.</w:t>
      </w:r>
    </w:p>
    <w:p w:rsidR="00486C7A" w:rsidP="00486C7A">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Жоғарыда аталған жолдар бойынша а.ж. соңында дейін Маңғыстау облысы әкімдігі республикалық бюджеттен қаражат бөлуге бюджеттік өтінім беруді жоспарлап отыр.</w:t>
      </w:r>
    </w:p>
    <w:p w:rsidR="00486C7A" w:rsidP="00486C7A">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Сонымен қатар, Маңғыстау облысындағы туристік орындарға жол салу мақсатында «Мыс жыланды», «Отпан тау», «Торыш», «Айрақты» және «Ақмыш-Шерқала-Самал» бағытындағы автомобиль жолдарын</w:t>
      </w:r>
      <w:r w:rsidRPr="00486C7A">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салуға ЖСҚ әзірлеу үшін жобалау-іздестіру жұмыстары жүргізілуде. Жобалау-іздестіру жұмыстары аяқталғаннан кейін 2022 жылы аталған жобалар бойынша ЖСҚ әзірлеу мақсатында қаржыландыру мәселесі қарастырылатын болады. </w:t>
      </w:r>
    </w:p>
    <w:p w:rsidR="00486C7A" w:rsidP="00486C7A">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Теңіз жағалауындағы Ақтау қаласынан Құрық портына дейінгі автомобиль жолын дамыту бойынша жалпы құны 17,8 млрд теңгені құрайтын, ұзындығы 70,8 шақырымды қамтитын 5 жоба жасақталды. Бүгінгі таңда төрт жоба бойынша жұмыстар жүргізілуде. Олар:</w:t>
      </w:r>
    </w:p>
    <w:p w:rsidR="00486C7A" w:rsidP="00486C7A">
      <w:pPr>
        <w:pStyle w:val="ListParagraph"/>
        <w:numPr>
          <w:ilvl w:val="0"/>
          <w:numId w:val="3"/>
        </w:numPr>
        <w:spacing w:after="0" w:line="240" w:lineRule="auto"/>
        <w:ind w:left="0"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«МАЭК-КазАтомпром» су алғышынан «Алау» балалар сауықтыру лагеріне дейін а/ж реконструкциялау» </w:t>
      </w:r>
      <w:r>
        <w:rPr>
          <w:rFonts w:ascii="Times New Roman" w:eastAsia="Calibri" w:hAnsi="Times New Roman" w:cs="Times New Roman"/>
          <w:i/>
          <w:sz w:val="24"/>
          <w:szCs w:val="24"/>
          <w:lang w:val="kk-KZ"/>
        </w:rPr>
        <w:t>(жалпы ұзындығы – 27 шақырым, құны – 7 432 млн тг.)</w:t>
      </w:r>
      <w:r>
        <w:rPr>
          <w:rFonts w:ascii="Times New Roman" w:eastAsia="Calibri" w:hAnsi="Times New Roman" w:cs="Times New Roman"/>
          <w:sz w:val="28"/>
          <w:szCs w:val="28"/>
          <w:lang w:val="kk-KZ"/>
        </w:rPr>
        <w:t>.</w:t>
      </w:r>
    </w:p>
    <w:p w:rsidR="00486C7A" w:rsidRPr="00486C7A" w:rsidP="00486C7A">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Автомобиль жолы 2 учаскеге бөлінген. Бірінші учаске: «МАЭК» су жинау каналынан «Tree of life» демалыс базасына дейін - 15,6 км.</w:t>
      </w:r>
    </w:p>
    <w:p w:rsidR="00486C7A" w:rsidRPr="00486C7A" w:rsidP="00486C7A">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Бірінші учаске бойынша </w:t>
      </w:r>
      <w:r>
        <w:rPr>
          <w:rFonts w:ascii="Times New Roman" w:eastAsia="Calibri" w:hAnsi="Times New Roman" w:cs="Times New Roman"/>
          <w:i/>
          <w:sz w:val="24"/>
          <w:szCs w:val="28"/>
          <w:lang w:val="kk-KZ"/>
        </w:rPr>
        <w:t>(«МАЭК» су жинау арнасынан «Tree of life» демалыс базасына дейін)</w:t>
      </w:r>
      <w:r>
        <w:rPr>
          <w:rFonts w:ascii="Times New Roman" w:eastAsia="Calibri" w:hAnsi="Times New Roman" w:cs="Times New Roman"/>
          <w:sz w:val="28"/>
          <w:szCs w:val="28"/>
          <w:lang w:val="kk-KZ"/>
        </w:rPr>
        <w:t xml:space="preserve"> жол жөндеу жұмыстары аяқталды, ал екінші учаскеде </w:t>
      </w:r>
      <w:r>
        <w:rPr>
          <w:rFonts w:ascii="Times New Roman" w:eastAsia="Calibri" w:hAnsi="Times New Roman" w:cs="Times New Roman"/>
          <w:i/>
          <w:sz w:val="24"/>
          <w:szCs w:val="28"/>
          <w:lang w:val="kk-KZ"/>
        </w:rPr>
        <w:t xml:space="preserve">(«Tree of Life» демалыс базасынан «Алау» балаларды сауықтандыру лагеріне дейін) </w:t>
      </w:r>
      <w:r>
        <w:rPr>
          <w:rFonts w:ascii="Times New Roman" w:eastAsia="Calibri" w:hAnsi="Times New Roman" w:cs="Times New Roman"/>
          <w:sz w:val="28"/>
          <w:szCs w:val="28"/>
          <w:lang w:val="kk-KZ"/>
        </w:rPr>
        <w:t>жол жөндеу жұмыстары жүргізілуде</w:t>
      </w:r>
      <w:r w:rsidRPr="00486C7A">
        <w:rPr>
          <w:rFonts w:ascii="Times New Roman" w:eastAsia="Calibri" w:hAnsi="Times New Roman" w:cs="Times New Roman"/>
          <w:sz w:val="28"/>
          <w:szCs w:val="28"/>
          <w:lang w:val="kk-KZ"/>
        </w:rPr>
        <w:t>;</w:t>
      </w:r>
    </w:p>
    <w:p w:rsidR="00486C7A" w:rsidP="00486C7A">
      <w:pPr>
        <w:spacing w:after="0" w:line="240" w:lineRule="auto"/>
        <w:ind w:firstLine="708"/>
        <w:jc w:val="both"/>
        <w:rPr>
          <w:rFonts w:ascii="Times New Roman" w:eastAsia="Calibri" w:hAnsi="Times New Roman" w:cs="Times New Roman"/>
          <w:i/>
          <w:sz w:val="24"/>
          <w:szCs w:val="24"/>
          <w:lang w:val="kk-KZ"/>
        </w:rPr>
      </w:pPr>
      <w:r>
        <w:rPr>
          <w:rFonts w:ascii="Times New Roman" w:eastAsia="Calibri" w:hAnsi="Times New Roman" w:cs="Times New Roman"/>
          <w:sz w:val="28"/>
          <w:szCs w:val="28"/>
          <w:lang w:val="kk-KZ"/>
        </w:rPr>
        <w:t xml:space="preserve">- «Ұзындығы 70 м болатын «Шора» автожол көпірін реконструкциялау» </w:t>
      </w:r>
      <w:r>
        <w:rPr>
          <w:rFonts w:ascii="Times New Roman" w:eastAsia="Calibri" w:hAnsi="Times New Roman" w:cs="Times New Roman"/>
          <w:i/>
          <w:sz w:val="24"/>
          <w:szCs w:val="24"/>
          <w:lang w:val="kk-KZ"/>
        </w:rPr>
        <w:t>(жалпы құны – 1 246 млн тг. Қазіргі таңда жоба толығымен аяқталып, іске қосылды);</w:t>
      </w:r>
    </w:p>
    <w:p w:rsidR="00486C7A" w:rsidP="00486C7A">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«Өмірзақ» кентінен бастап Ақтау қаласының Жылы жағажайына дейін автомобиль жолын салу – 4,6 км» </w:t>
      </w:r>
      <w:r>
        <w:rPr>
          <w:rFonts w:ascii="Times New Roman" w:eastAsia="Calibri" w:hAnsi="Times New Roman" w:cs="Times New Roman"/>
          <w:i/>
          <w:sz w:val="24"/>
          <w:szCs w:val="24"/>
          <w:lang w:val="kk-KZ"/>
        </w:rPr>
        <w:t>(жалпы құны – 2 682 млн тг.,қазіргі таңда, жол жөндеу жұмыстары аяқталды);</w:t>
      </w:r>
    </w:p>
    <w:p w:rsidR="00486C7A" w:rsidP="00486C7A">
      <w:pPr>
        <w:spacing w:after="0" w:line="240" w:lineRule="auto"/>
        <w:ind w:firstLine="709"/>
        <w:jc w:val="both"/>
        <w:rPr>
          <w:rFonts w:ascii="Times New Roman" w:eastAsia="Calibri" w:hAnsi="Times New Roman" w:cs="Times New Roman"/>
          <w:i/>
          <w:sz w:val="24"/>
          <w:szCs w:val="24"/>
          <w:lang w:val="kk-KZ"/>
        </w:rPr>
      </w:pPr>
      <w:r>
        <w:rPr>
          <w:rFonts w:ascii="Times New Roman" w:eastAsia="Calibri" w:hAnsi="Times New Roman" w:cs="Times New Roman"/>
          <w:sz w:val="28"/>
          <w:szCs w:val="28"/>
          <w:lang w:val="kk-KZ"/>
        </w:rPr>
        <w:t xml:space="preserve">-  «№3 және №1 а/ж </w:t>
      </w:r>
      <w:r>
        <w:rPr>
          <w:rFonts w:ascii="Times New Roman" w:eastAsia="Calibri" w:hAnsi="Times New Roman" w:cs="Times New Roman"/>
          <w:i/>
          <w:sz w:val="24"/>
          <w:szCs w:val="28"/>
          <w:lang w:val="kk-KZ"/>
        </w:rPr>
        <w:t>(Honda center)</w:t>
      </w:r>
      <w:r>
        <w:rPr>
          <w:rFonts w:ascii="Times New Roman" w:eastAsia="Calibri" w:hAnsi="Times New Roman" w:cs="Times New Roman"/>
          <w:sz w:val="28"/>
          <w:szCs w:val="28"/>
          <w:lang w:val="kk-KZ"/>
        </w:rPr>
        <w:t xml:space="preserve"> қиылысынан Өмірзақ ауылының «Т» бейнелі қиылысына дейінгі учаскені реконструкциялау</w:t>
      </w:r>
      <w:r>
        <w:rPr>
          <w:rFonts w:ascii="Times New Roman" w:eastAsia="Calibri" w:hAnsi="Times New Roman" w:cs="Times New Roman"/>
          <w:i/>
          <w:sz w:val="24"/>
          <w:szCs w:val="24"/>
          <w:lang w:val="kk-KZ"/>
        </w:rPr>
        <w:t>(жалпы құны – 1 897 млн тг. Қазіргі таңда, асфальт жабындысы толығымен төселіп, веложол, тротуар салынды).</w:t>
      </w:r>
    </w:p>
    <w:p w:rsidR="00486C7A" w:rsidP="00486C7A">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Бұдан басқа, «МАЭК» су алғышынан Құрық теңіз портына дейін </w:t>
      </w:r>
      <w:r>
        <w:rPr>
          <w:rFonts w:ascii="Times New Roman" w:eastAsia="Calibri" w:hAnsi="Times New Roman" w:cs="Times New Roman"/>
          <w:i/>
          <w:sz w:val="24"/>
          <w:szCs w:val="28"/>
          <w:lang w:val="kk-KZ"/>
        </w:rPr>
        <w:t>(II – кезек)</w:t>
      </w:r>
      <w:r>
        <w:rPr>
          <w:rFonts w:ascii="Times New Roman" w:eastAsia="Calibri" w:hAnsi="Times New Roman" w:cs="Times New Roman"/>
          <w:sz w:val="28"/>
          <w:szCs w:val="28"/>
          <w:lang w:val="kk-KZ"/>
        </w:rPr>
        <w:t xml:space="preserve"> автомобиль жолын реконструкциялау» жобасының </w:t>
      </w:r>
      <w:r>
        <w:rPr>
          <w:rFonts w:ascii="Times New Roman" w:eastAsia="Calibri" w:hAnsi="Times New Roman" w:cs="Times New Roman"/>
          <w:i/>
          <w:sz w:val="24"/>
          <w:szCs w:val="28"/>
          <w:lang w:val="kk-KZ"/>
        </w:rPr>
        <w:t>(ұзындығы – 34,7 км, жобаның құны – 4,2 млрд теңге)</w:t>
      </w:r>
      <w:r>
        <w:rPr>
          <w:rFonts w:ascii="Times New Roman" w:eastAsia="Calibri" w:hAnsi="Times New Roman" w:cs="Times New Roman"/>
          <w:sz w:val="28"/>
          <w:szCs w:val="28"/>
          <w:lang w:val="kk-KZ"/>
        </w:rPr>
        <w:t xml:space="preserve"> ЖСҚ-на сараптаманың оң қорытындысы алынған. Аталған жобаны іске асыру 2022 жылға жоспарланған.</w:t>
      </w:r>
    </w:p>
    <w:p w:rsidR="00486C7A" w:rsidP="00486C7A">
      <w:pPr>
        <w:pStyle w:val="NormalWeb"/>
        <w:spacing w:before="0" w:beforeAutospacing="0" w:after="0" w:afterAutospacing="0"/>
        <w:ind w:firstLine="709"/>
        <w:jc w:val="both"/>
        <w:rPr>
          <w:b/>
          <w:i/>
          <w:iCs/>
          <w:sz w:val="28"/>
          <w:szCs w:val="28"/>
          <w:lang w:val="kk-KZ"/>
        </w:rPr>
      </w:pPr>
      <w:r>
        <w:rPr>
          <w:b/>
          <w:i/>
          <w:iCs/>
          <w:sz w:val="28"/>
          <w:szCs w:val="28"/>
          <w:lang w:val="kk-KZ"/>
        </w:rPr>
        <w:t>Темір жол вокзалы мен вагондардың жағдайы бойынша</w:t>
      </w:r>
    </w:p>
    <w:p w:rsidR="00486C7A" w:rsidP="00486C7A">
      <w:pPr>
        <w:pStyle w:val="NormalWeb"/>
        <w:spacing w:before="0" w:beforeAutospacing="0" w:after="0" w:afterAutospacing="0"/>
        <w:ind w:firstLine="709"/>
        <w:jc w:val="both"/>
        <w:rPr>
          <w:iCs/>
          <w:szCs w:val="28"/>
          <w:lang w:val="kk-KZ"/>
        </w:rPr>
      </w:pPr>
      <w:r>
        <w:rPr>
          <w:iCs/>
          <w:sz w:val="28"/>
          <w:szCs w:val="28"/>
          <w:lang w:val="kk-KZ"/>
        </w:rPr>
        <w:t xml:space="preserve">Маңғыстау станциясына қатынайтын вагондардың жағдайы бойынша қазіргі таңда облысқа келіп кететін жолаушы вагондарының саны – 200 вагон, оның ішінде 123 вагондар жаңартылған </w:t>
      </w:r>
      <w:r>
        <w:rPr>
          <w:i/>
          <w:iCs/>
          <w:szCs w:val="28"/>
          <w:lang w:val="kk-KZ"/>
        </w:rPr>
        <w:t>(61,5</w:t>
      </w:r>
      <w:r>
        <w:rPr>
          <w:bCs/>
          <w:i/>
          <w:iCs/>
          <w:szCs w:val="28"/>
          <w:lang w:val="kk-KZ"/>
        </w:rPr>
        <w:t>%</w:t>
      </w:r>
      <w:r>
        <w:rPr>
          <w:i/>
          <w:iCs/>
          <w:szCs w:val="28"/>
          <w:lang w:val="kk-KZ"/>
        </w:rPr>
        <w:t>)</w:t>
      </w:r>
      <w:r>
        <w:rPr>
          <w:iCs/>
          <w:szCs w:val="28"/>
          <w:lang w:val="kk-KZ"/>
        </w:rPr>
        <w:t>.</w:t>
      </w:r>
    </w:p>
    <w:p w:rsidR="00486C7A" w:rsidP="00486C7A">
      <w:pPr>
        <w:spacing w:after="0" w:line="240" w:lineRule="auto"/>
        <w:ind w:firstLine="709"/>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Бүгінгі таңда, Маңғыстау облысы әкімдігі өз тарапынан темір жол вокзал құрылысының орнын анықтау және жобаны іске асыру үшін инвестор тарту бойынша жұмыстар жүргізуде.</w:t>
      </w:r>
    </w:p>
    <w:p w:rsidR="00486C7A" w:rsidP="00486C7A">
      <w:pPr>
        <w:spacing w:after="0" w:line="240" w:lineRule="auto"/>
        <w:ind w:firstLine="709"/>
        <w:jc w:val="both"/>
        <w:rPr>
          <w:rFonts w:ascii="Times New Roman" w:eastAsia="Times New Roman" w:hAnsi="Times New Roman" w:cs="Times New Roman"/>
          <w:b/>
          <w:i/>
          <w:iCs/>
          <w:sz w:val="28"/>
          <w:szCs w:val="28"/>
          <w:lang w:val="kk-KZ"/>
        </w:rPr>
      </w:pPr>
      <w:r>
        <w:rPr>
          <w:rFonts w:ascii="Times New Roman" w:eastAsia="Times New Roman" w:hAnsi="Times New Roman" w:cs="Times New Roman"/>
          <w:b/>
          <w:i/>
          <w:iCs/>
          <w:sz w:val="28"/>
          <w:szCs w:val="28"/>
          <w:lang w:val="kk-KZ"/>
        </w:rPr>
        <w:t>Теңіз вокзалын салу қажеттілігі бойынша</w:t>
      </w:r>
    </w:p>
    <w:p w:rsidR="00486C7A" w:rsidP="00486C7A">
      <w:pPr>
        <w:pStyle w:val="NormalWeb"/>
        <w:spacing w:before="0" w:beforeAutospacing="0" w:after="0" w:afterAutospacing="0"/>
        <w:ind w:firstLine="709"/>
        <w:jc w:val="both"/>
        <w:rPr>
          <w:sz w:val="28"/>
          <w:szCs w:val="28"/>
          <w:lang w:val="kk-KZ"/>
        </w:rPr>
      </w:pPr>
      <w:r>
        <w:rPr>
          <w:sz w:val="28"/>
          <w:szCs w:val="28"/>
          <w:lang w:val="kk-KZ"/>
        </w:rPr>
        <w:t xml:space="preserve">Қазіргі таңда, ҚР Индустрия және инфрақұрылымдық даму министірлігі ақпаратына сәйкес Ақтау немесе Құрық порттарында жеке жолаушылар терминалының құрылысын қарау үшін жеткілікті жолаушылар ағыны байқалмайды. Бұл ретте, Ақтау және Құрық теңіз порттарының қолданыстағы инфрақұрылымы аралас «өзен-теңіз» жүзу ауданының жолаушылар кемелерін қабылдауға мүмкіндік береді </w:t>
      </w:r>
      <w:r>
        <w:rPr>
          <w:i/>
          <w:szCs w:val="28"/>
          <w:lang w:val="kk-KZ"/>
        </w:rPr>
        <w:t>(«Ұлы Петр» теплоходы сияқты)</w:t>
      </w:r>
      <w:r>
        <w:rPr>
          <w:sz w:val="28"/>
          <w:szCs w:val="28"/>
          <w:lang w:val="kk-KZ"/>
        </w:rPr>
        <w:t xml:space="preserve">. Ақтау портындағы №8 паромдық айлақ </w:t>
      </w:r>
      <w:r>
        <w:rPr>
          <w:i/>
          <w:szCs w:val="28"/>
          <w:lang w:val="kk-KZ"/>
        </w:rPr>
        <w:t>(айлақ қабырғасының ұзындығы - 130 метр, тереңдігі - 5 метр)</w:t>
      </w:r>
      <w:r>
        <w:rPr>
          <w:sz w:val="28"/>
          <w:szCs w:val="28"/>
          <w:lang w:val="kk-KZ"/>
        </w:rPr>
        <w:t xml:space="preserve"> және Құрық портындағы автопаромдық айлақ </w:t>
      </w:r>
      <w:r>
        <w:rPr>
          <w:i/>
          <w:szCs w:val="28"/>
          <w:lang w:val="kk-KZ"/>
        </w:rPr>
        <w:t>(айлақ қабырғасының ұзындығы - 174 метр, тереңдігі – 6,5 метр)</w:t>
      </w:r>
      <w:r>
        <w:rPr>
          <w:sz w:val="28"/>
          <w:szCs w:val="28"/>
          <w:lang w:val="kk-KZ"/>
        </w:rPr>
        <w:t xml:space="preserve"> жолаушылар кемесін қабылдауға арналған. </w:t>
      </w:r>
      <w:r>
        <w:rPr>
          <w:iCs/>
          <w:sz w:val="28"/>
          <w:szCs w:val="28"/>
          <w:lang w:val="kk-KZ"/>
        </w:rPr>
        <w:t>2022 жылдың 2 жартыжылдығына Каспий теңізі бойынша Ақтау және Астрахань қалалары арасында «Ұлы Петр» круиздік кемесін іске асыру жоспарланған.</w:t>
      </w:r>
    </w:p>
    <w:p w:rsidR="00486C7A" w:rsidP="00486C7A">
      <w:pPr>
        <w:pStyle w:val="NormalWeb"/>
        <w:spacing w:before="0" w:beforeAutospacing="0" w:after="0" w:afterAutospacing="0"/>
        <w:ind w:firstLine="709"/>
        <w:jc w:val="both"/>
        <w:rPr>
          <w:sz w:val="28"/>
          <w:szCs w:val="28"/>
          <w:lang w:val="kk-KZ"/>
        </w:rPr>
      </w:pPr>
      <w:r>
        <w:rPr>
          <w:sz w:val="28"/>
          <w:szCs w:val="28"/>
          <w:lang w:val="kk-KZ"/>
        </w:rPr>
        <w:t xml:space="preserve">Құрық портында жолаушыларды өткізу пункті мен кедендік бақылау аймағы жұмыс істейді, ол іс жүзінде теңіз вокзалының қызметін атқарады. Ғимаратта теңіз вокзалдарында көзделген барлық функционалдық аймақтар бар </w:t>
      </w:r>
      <w:r>
        <w:rPr>
          <w:i/>
          <w:szCs w:val="28"/>
          <w:lang w:val="kk-KZ"/>
        </w:rPr>
        <w:t>(бақылау-өткізу пункттері, күту залы, билет кассасы, валюта айырбастау пункті, қонақ үй, асхана, кафетерий және т.б.)</w:t>
      </w:r>
      <w:r>
        <w:rPr>
          <w:sz w:val="28"/>
          <w:szCs w:val="28"/>
          <w:lang w:val="kk-KZ"/>
        </w:rPr>
        <w:t>. Өткізу қабілеті жылына 90 мың жолаушыны құрайды.</w:t>
      </w:r>
    </w:p>
    <w:p w:rsidR="00486C7A" w:rsidP="00486C7A">
      <w:pPr>
        <w:pStyle w:val="NormalWeb"/>
        <w:spacing w:before="0" w:beforeAutospacing="0" w:after="0" w:afterAutospacing="0"/>
        <w:ind w:firstLine="709"/>
        <w:jc w:val="both"/>
        <w:rPr>
          <w:b/>
          <w:i/>
          <w:sz w:val="28"/>
          <w:szCs w:val="28"/>
          <w:lang w:val="kk-KZ"/>
        </w:rPr>
      </w:pPr>
      <w:r>
        <w:rPr>
          <w:b/>
          <w:i/>
          <w:sz w:val="28"/>
          <w:szCs w:val="28"/>
          <w:lang w:val="kk-KZ"/>
        </w:rPr>
        <w:t>Әуе рейстері бойынша</w:t>
      </w:r>
    </w:p>
    <w:p w:rsidR="00486C7A" w:rsidP="00486C7A">
      <w:pPr>
        <w:pStyle w:val="NormalWeb"/>
        <w:spacing w:before="0" w:beforeAutospacing="0" w:after="0" w:afterAutospacing="0"/>
        <w:ind w:firstLine="709"/>
        <w:jc w:val="both"/>
        <w:rPr>
          <w:i/>
          <w:sz w:val="28"/>
          <w:szCs w:val="28"/>
          <w:lang w:val="kk-KZ"/>
        </w:rPr>
      </w:pPr>
      <w:r>
        <w:rPr>
          <w:iCs/>
          <w:sz w:val="28"/>
          <w:szCs w:val="28"/>
          <w:lang w:val="kk-KZ"/>
        </w:rPr>
        <w:t>Бүгінгі күні, Ақтау халықаралық әуежайынан аптасына ішкі бағыттар бойынша 107 рейс, халықаралық бағыттар бойынша 23 рейс орындалуда, оның ішінде 8 ішкі бағыттар: Нұр-Сұлтан, Алматы, Шымкент, Атырау, Көкшетау, Ақтөбе, Орал, Түркістан және 10 халықаралық бағыттар: Мәскеу, Стамбул, Тбилиси, Горган, Үргеніш, Нөкіс, Ереван, Кутаиси, Грозный, Дубай.</w:t>
      </w:r>
    </w:p>
    <w:p w:rsidR="00486C7A" w:rsidP="00486C7A">
      <w:pPr>
        <w:widowControl w:val="0"/>
        <w:tabs>
          <w:tab w:val="left" w:pos="0"/>
          <w:tab w:val="left" w:pos="6585"/>
        </w:tabs>
        <w:autoSpaceDE w:val="0"/>
        <w:autoSpaceDN w:val="0"/>
        <w:adjustRightInd w:val="0"/>
        <w:spacing w:after="0"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2012 жылдан бастап ішкі авиатасымалдар нарығы толығымен ырықтандырылғанын және рейстер саны мен бағыттар бойынша шектеулер жоқ екенін атап өту қажет, яғни тұрақты ішкі коммерциялық әуе тасымалдарын орындауға рұқсаты бар әрбір қазақстандық авиакомпания ішкі маршрутта уақытта сұранысқа сәйкес өзіне қажетті кез келген уақытта тұрақты рейстерді орындауға болады.</w:t>
      </w:r>
    </w:p>
    <w:p w:rsidR="00486C7A" w:rsidP="00486C7A">
      <w:pPr>
        <w:widowControl w:val="0"/>
        <w:tabs>
          <w:tab w:val="left" w:pos="0"/>
          <w:tab w:val="left" w:pos="6585"/>
        </w:tabs>
        <w:autoSpaceDE w:val="0"/>
        <w:autoSpaceDN w:val="0"/>
        <w:adjustRightInd w:val="0"/>
        <w:spacing w:after="0"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Осыған байланысты тұрақты ішкі рейстерді орындауға рұқсаты бар қазақстандық авиакомпанияларда ішкі тұрақты тасымалдар нарығында қандай да бір шектеулер жоқ.</w:t>
      </w:r>
    </w:p>
    <w:p w:rsidR="00486C7A" w:rsidRPr="00486C7A" w:rsidP="00486C7A">
      <w:pPr>
        <w:widowControl w:val="0"/>
        <w:tabs>
          <w:tab w:val="left" w:pos="0"/>
          <w:tab w:val="left" w:pos="6585"/>
        </w:tabs>
        <w:autoSpaceDE w:val="0"/>
        <w:autoSpaceDN w:val="0"/>
        <w:adjustRightInd w:val="0"/>
        <w:spacing w:after="0"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Халықаралық қатынастарды ашу бойынша жұмыс ҚР Денсаулық сақтау </w:t>
      </w:r>
      <w:r>
        <w:rPr>
          <w:rFonts w:ascii="Times New Roman" w:hAnsi="Times New Roman" w:cs="Times New Roman"/>
          <w:bCs/>
          <w:sz w:val="28"/>
          <w:szCs w:val="28"/>
          <w:lang w:val="kk-KZ"/>
        </w:rPr>
        <w:t xml:space="preserve">министрлігімен келісе отырып, Қазақстан Республикасының аумағында коронавирустық инфекцияның пайда болуы мен таралуына жол бермеу жөніндегі ведомствоаралық комиссияның </w:t>
      </w:r>
      <w:r>
        <w:rPr>
          <w:rFonts w:ascii="Times New Roman" w:hAnsi="Times New Roman" w:cs="Times New Roman"/>
          <w:bCs/>
          <w:i/>
          <w:sz w:val="24"/>
          <w:szCs w:val="28"/>
          <w:lang w:val="kk-KZ"/>
        </w:rPr>
        <w:t>(бұдан әрі – Ведомствоаралық комиссия)</w:t>
      </w:r>
      <w:r>
        <w:rPr>
          <w:rFonts w:ascii="Times New Roman" w:hAnsi="Times New Roman" w:cs="Times New Roman"/>
          <w:bCs/>
          <w:sz w:val="28"/>
          <w:szCs w:val="28"/>
          <w:lang w:val="kk-KZ"/>
        </w:rPr>
        <w:t xml:space="preserve"> шешімдері негізінде, сондай-ақ шет мемлекеттердің енгізілген шектеулерін ескере отырып жүзеге асырылып жатыр.</w:t>
      </w:r>
    </w:p>
    <w:p w:rsidR="00486C7A" w:rsidRPr="00486C7A" w:rsidP="00486C7A">
      <w:pPr>
        <w:widowControl w:val="0"/>
        <w:tabs>
          <w:tab w:val="left" w:pos="0"/>
          <w:tab w:val="left" w:pos="6585"/>
        </w:tabs>
        <w:autoSpaceDE w:val="0"/>
        <w:autoSpaceDN w:val="0"/>
        <w:adjustRightInd w:val="0"/>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Ведомствоаралық комиссияның шешімдеріне сәйкес қазіргі уақытта Ақтау қаласынан аптасына 23 рейс жиілігімен 8 бағыт бойынша 7 елге халықаралық рейстер орындалуда.</w:t>
      </w:r>
    </w:p>
    <w:p w:rsidR="00486C7A" w:rsidP="00486C7A">
      <w:pPr>
        <w:widowControl w:val="0"/>
        <w:tabs>
          <w:tab w:val="left" w:pos="0"/>
        </w:tabs>
        <w:autoSpaceDE w:val="0"/>
        <w:autoSpaceDN w:val="0"/>
        <w:adjustRightInd w:val="0"/>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t xml:space="preserve">Авиабилеттер құнын төмендетуга қатысты Қазақстан Республикасында әуе көлігіндегі бағаларды мемлекеттік реттеу алынып тасталғанын атап өту қажет. Авиатасымалдарды мемлекеттік реттеу азаматтық авиация нарығының дамуына кедергі келтіреді. Қазақстан Республикасының әуе тасымалдары нарығындағы бағыттардың көпшілігінде тасымалдарды бірнеше тасымалдаушылар орындайды. Осыған байланысты, тариф белгілеуді реттеуді енгізу бәсекелестікке теріс әсер етеді. </w:t>
      </w:r>
    </w:p>
    <w:p w:rsidR="00486C7A" w:rsidP="00486C7A">
      <w:pPr>
        <w:spacing w:after="0" w:line="240" w:lineRule="auto"/>
        <w:ind w:firstLine="709"/>
        <w:jc w:val="both"/>
        <w:rPr>
          <w:rFonts w:ascii="Times New Roman" w:hAnsi="Times New Roman" w:eastAsiaTheme="minorHAnsi" w:cs="Times New Roman"/>
          <w:b/>
          <w:i/>
          <w:sz w:val="28"/>
          <w:szCs w:val="28"/>
          <w:lang w:val="kk-KZ" w:eastAsia="en-US"/>
        </w:rPr>
      </w:pPr>
      <w:r>
        <w:rPr>
          <w:rFonts w:ascii="Times New Roman" w:hAnsi="Times New Roman" w:eastAsiaTheme="minorHAnsi" w:cs="Times New Roman"/>
          <w:b/>
          <w:i/>
          <w:sz w:val="28"/>
          <w:szCs w:val="28"/>
          <w:lang w:val="kk-KZ" w:eastAsia="en-US"/>
        </w:rPr>
        <w:t xml:space="preserve">Қасиетті жерлерге адамдарды жерлеуге байланысты </w:t>
      </w:r>
    </w:p>
    <w:p w:rsidR="00486C7A" w:rsidP="00486C7A">
      <w:pPr>
        <w:spacing w:after="0" w:line="240" w:lineRule="auto"/>
        <w:ind w:firstLine="709"/>
        <w:jc w:val="both"/>
        <w:rPr>
          <w:rFonts w:ascii="Times New Roman" w:hAnsi="Times New Roman" w:cs="Times New Roman"/>
          <w:color w:val="000000"/>
          <w:sz w:val="28"/>
          <w:szCs w:val="26"/>
          <w:lang w:val="kk-KZ"/>
        </w:rPr>
      </w:pPr>
      <w:r>
        <w:rPr>
          <w:rFonts w:ascii="Times New Roman" w:hAnsi="Times New Roman" w:cs="Times New Roman"/>
          <w:color w:val="000000"/>
          <w:sz w:val="28"/>
          <w:szCs w:val="26"/>
          <w:lang w:val="kk-KZ"/>
        </w:rPr>
        <w:t xml:space="preserve">Маңғыстау облысының Тарих және мәдениет ескерткіштерін қорғау комиссиясының кезекті отырыстарында Маңғыстау облысы әкімінің орынбасары тиісті басқармаларға ежелгі қорымдардың жанынан жаңа қойылымдарға арналған жер бөлу, тарих және мәдениет ескерткiштерiнің қорғау аймақтарында </w:t>
      </w:r>
      <w:r>
        <w:rPr>
          <w:rFonts w:ascii="Times New Roman" w:hAnsi="Times New Roman" w:cs="Times New Roman"/>
          <w:spacing w:val="2"/>
          <w:sz w:val="28"/>
          <w:szCs w:val="26"/>
          <w:lang w:val="kk-KZ"/>
        </w:rPr>
        <w:t>заң бұзушылық фактілерді болдырмау мақсатында</w:t>
      </w:r>
      <w:r>
        <w:rPr>
          <w:rFonts w:ascii="Times New Roman" w:hAnsi="Times New Roman" w:cs="Times New Roman"/>
          <w:sz w:val="28"/>
          <w:szCs w:val="26"/>
          <w:lang w:val="kk-KZ"/>
        </w:rPr>
        <w:t xml:space="preserve"> </w:t>
      </w:r>
      <w:r>
        <w:rPr>
          <w:rFonts w:ascii="Times New Roman" w:hAnsi="Times New Roman" w:cs="Times New Roman"/>
          <w:spacing w:val="2"/>
          <w:sz w:val="28"/>
          <w:szCs w:val="26"/>
          <w:lang w:val="kk-KZ"/>
        </w:rPr>
        <w:t>қорғау белгілерін орнату, «</w:t>
      </w:r>
      <w:r>
        <w:rPr>
          <w:rFonts w:ascii="Times New Roman" w:hAnsi="Times New Roman" w:cs="Times New Roman"/>
          <w:color w:val="000000"/>
          <w:sz w:val="28"/>
          <w:szCs w:val="26"/>
          <w:lang w:val="kk-KZ"/>
        </w:rPr>
        <w:t>адам жерлеуге тиым салынады» деген тақтайшалар орнату</w:t>
      </w:r>
      <w:r>
        <w:rPr>
          <w:rFonts w:ascii="Times New Roman" w:hAnsi="Times New Roman" w:cs="Times New Roman"/>
          <w:spacing w:val="2"/>
          <w:sz w:val="28"/>
          <w:szCs w:val="26"/>
          <w:lang w:val="kk-KZ"/>
        </w:rPr>
        <w:t xml:space="preserve"> жөнінде тапсырмалар беріліп келеді. </w:t>
      </w:r>
    </w:p>
    <w:p w:rsidR="00486C7A" w:rsidRPr="00486C7A" w:rsidP="00486C7A">
      <w:pPr>
        <w:spacing w:after="0" w:line="240" w:lineRule="auto"/>
        <w:ind w:firstLine="709"/>
        <w:jc w:val="both"/>
        <w:rPr>
          <w:rFonts w:ascii="Times New Roman" w:hAnsi="Times New Roman" w:cs="Times New Roman"/>
          <w:color w:val="000000"/>
          <w:sz w:val="28"/>
          <w:szCs w:val="26"/>
          <w:lang w:val="kk-KZ"/>
        </w:rPr>
      </w:pPr>
      <w:r>
        <w:rPr>
          <w:rFonts w:ascii="Times New Roman" w:hAnsi="Times New Roman" w:cs="Times New Roman"/>
          <w:color w:val="000000"/>
          <w:sz w:val="28"/>
          <w:szCs w:val="26"/>
          <w:lang w:val="kk-KZ"/>
        </w:rPr>
        <w:t xml:space="preserve">Нәтижесінде </w:t>
      </w:r>
      <w:r>
        <w:rPr>
          <w:rFonts w:ascii="Times New Roman" w:hAnsi="Times New Roman" w:cs="Times New Roman"/>
          <w:bCs/>
          <w:spacing w:val="2"/>
          <w:sz w:val="28"/>
          <w:szCs w:val="26"/>
          <w:bdr w:val="none" w:sz="0" w:space="0" w:color="auto" w:frame="1"/>
          <w:lang w:val="kk-KZ"/>
        </w:rPr>
        <w:t>Қазақстан Республикасының «Тарихи-мәдени мұра объектілерін қорғау және пайдалану туралы» заңнамасының сақталуын қамтамасыз ету</w:t>
      </w:r>
      <w:r>
        <w:rPr>
          <w:rFonts w:ascii="Times New Roman" w:hAnsi="Times New Roman" w:cs="Times New Roman"/>
          <w:sz w:val="28"/>
          <w:szCs w:val="26"/>
          <w:lang w:val="kk-KZ"/>
        </w:rPr>
        <w:t xml:space="preserve"> мақсатында</w:t>
      </w:r>
      <w:r>
        <w:rPr>
          <w:rFonts w:ascii="Times New Roman" w:hAnsi="Times New Roman" w:cs="Times New Roman"/>
          <w:color w:val="000000"/>
          <w:sz w:val="28"/>
          <w:szCs w:val="26"/>
          <w:lang w:val="kk-KZ"/>
        </w:rPr>
        <w:t xml:space="preserve"> адам жерлеуге арнайы орындар бөлінуде. </w:t>
      </w:r>
    </w:p>
    <w:p w:rsidR="00486C7A" w:rsidP="00486C7A">
      <w:pPr>
        <w:spacing w:after="0" w:line="240" w:lineRule="auto"/>
        <w:ind w:firstLine="709"/>
        <w:jc w:val="both"/>
        <w:rPr>
          <w:rFonts w:ascii="Times New Roman" w:hAnsi="Times New Roman" w:cs="Times New Roman"/>
          <w:b/>
          <w:sz w:val="28"/>
          <w:szCs w:val="26"/>
          <w:lang w:val="kk-KZ"/>
        </w:rPr>
      </w:pPr>
      <w:r>
        <w:rPr>
          <w:rFonts w:ascii="Times New Roman" w:hAnsi="Times New Roman" w:cs="Times New Roman"/>
          <w:color w:val="000000"/>
          <w:sz w:val="28"/>
          <w:szCs w:val="26"/>
          <w:lang w:val="kk-KZ"/>
        </w:rPr>
        <w:t xml:space="preserve">Осымен қатар, Тарих және мәдениет ескерткішінің қорғау аймағын, құрылыс салуды реттеу аймағын және қорғалатын табиғи ландшафт аймағын және оларды пайдалану режимін айқындау қағидаларының </w:t>
      </w:r>
      <w:r>
        <w:rPr>
          <w:rFonts w:ascii="Times New Roman" w:hAnsi="Times New Roman" w:cs="Times New Roman"/>
          <w:bCs/>
          <w:spacing w:val="2"/>
          <w:sz w:val="28"/>
          <w:szCs w:val="26"/>
          <w:bdr w:val="none" w:sz="0" w:space="0" w:color="auto" w:frame="1"/>
          <w:lang w:val="kk-KZ"/>
        </w:rPr>
        <w:t>3 тарауының 10 тармағына сәйкес тарих және мәдениет ескерткішін сақтауға бағытталған арнайы шараларды қолдануды қоспағанда, шаруашылық қызметті шектейтін және құрылысқа тыйым салатын жерді пайдаланудың ерекше режимі белгіленеді. Қорғау аймағында жаңа құрылыс жұмыстары жүргізілмейді.</w:t>
      </w:r>
    </w:p>
    <w:p w:rsidR="00486C7A" w:rsidP="00486C7A">
      <w:pPr>
        <w:shd w:val="clear" w:color="auto" w:fill="FFFFFF"/>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Ауыз судың мәселесі бойынша</w:t>
      </w:r>
    </w:p>
    <w:p w:rsidR="00486C7A" w:rsidP="00486C7A">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Маңғыстау облысы үшін ауыз сумен қамтамасыз ету аса өзекті мәселе болып табылады. Өңір негізінен «Астрахань-Маңғышлақ» су құбыры арқылы Еділ суымен және тұщыландырылған теңіз суымен қамтамасыз етіледі. Олардың жиынтық қуаты тәулігіне 150 мың м3 құрайды </w:t>
      </w:r>
      <w:r>
        <w:rPr>
          <w:rFonts w:ascii="Times New Roman" w:hAnsi="Times New Roman" w:cs="Times New Roman"/>
          <w:i/>
          <w:sz w:val="24"/>
          <w:szCs w:val="28"/>
          <w:lang w:val="kk-KZ"/>
        </w:rPr>
        <w:t>(«Астрахань-Маңғышлақ» – 64 мың т.м., МАЭК – 52 мың т. м., КСТЗ – 20 мың т. м., жерасты сулары – 14 мың т. м.)</w:t>
      </w:r>
      <w:r>
        <w:rPr>
          <w:rFonts w:ascii="Times New Roman" w:hAnsi="Times New Roman" w:cs="Times New Roman"/>
          <w:sz w:val="28"/>
          <w:szCs w:val="28"/>
          <w:lang w:val="kk-KZ"/>
        </w:rPr>
        <w:t>.</w:t>
      </w:r>
    </w:p>
    <w:p w:rsidR="00486C7A" w:rsidP="00486C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Облыста ауыз судың жетіспеушілігі әсіресе жаз мезгілінде қатты сезіледі және ол тәулігіне 51,0 мың м3 құрайды, өңірдің даму деңгейін ескере отырып, 2025 жылға қарай суға қажеттілік тәулігіне 250-260 мың м3 құрайды, ал тапшылық тәулігіне 100-110 мың м3 құрайды.</w:t>
      </w:r>
    </w:p>
    <w:p w:rsidR="00486C7A" w:rsidP="00486C7A">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Ауыз су тапшылығын жою үшін 2025 жылға дейін шамамен құны 247 млрд теңгеден асатын 9 тұщыландыру зауытын салу бойынша ірі жобаларды іске асыру жоспарлануда:</w:t>
      </w:r>
    </w:p>
    <w:p w:rsidR="00486C7A" w:rsidP="00486C7A">
      <w:pPr>
        <w:pStyle w:val="ListParagraph"/>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Тәулігіне 40000 м3 ауыз су өндіруді ұлғайту бойынша Ақтау қаласындағы «Каспий» су тұщыту зауытын кеңейту;</w:t>
      </w:r>
    </w:p>
    <w:p w:rsidR="00486C7A" w:rsidP="00486C7A">
      <w:pPr>
        <w:pStyle w:val="ListParagraph"/>
        <w:numPr>
          <w:ilvl w:val="0"/>
          <w:numId w:val="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Ақтау қаласындағы «Каспий» тұщыту зауытының ауыз су өнімділігі тәулігіне 60,0 мың текше метр 2-кезегін салу және жалпы қуаттылықты тәулігіне 100 мың текше метрге дейін арттыру </w:t>
      </w:r>
      <w:r>
        <w:rPr>
          <w:rFonts w:ascii="Times New Roman" w:hAnsi="Times New Roman" w:cs="Times New Roman"/>
          <w:i/>
          <w:sz w:val="24"/>
          <w:szCs w:val="28"/>
          <w:lang w:val="kk-KZ"/>
        </w:rPr>
        <w:t>(3-кезек)</w:t>
      </w:r>
      <w:r>
        <w:rPr>
          <w:rFonts w:ascii="Times New Roman" w:hAnsi="Times New Roman" w:cs="Times New Roman"/>
          <w:sz w:val="28"/>
          <w:szCs w:val="28"/>
          <w:lang w:val="kk-KZ"/>
        </w:rPr>
        <w:t>;</w:t>
      </w:r>
    </w:p>
    <w:p w:rsidR="00486C7A" w:rsidP="00486C7A">
      <w:pPr>
        <w:pStyle w:val="ListParagraph"/>
        <w:numPr>
          <w:ilvl w:val="0"/>
          <w:numId w:val="3"/>
        </w:numPr>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Форт-Шевченко қаласындағы қуаты тәулігіне 5,0 мың текше метрлік су тұщыту қондырғысының құрылысын салу;</w:t>
      </w:r>
    </w:p>
    <w:p w:rsidR="00486C7A" w:rsidP="00486C7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Түпқараған ауданы Ақшұқыр және С.Шапагатов елді мекендерінде қуаты тәулігіне 10,0 мың текше метрлік су тұщыту қондырғысының құрылысын салу;</w:t>
      </w:r>
    </w:p>
    <w:p w:rsidR="00486C7A" w:rsidP="00486C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«МАЭК-Қазатомөнеркәсіп» ЖШС аумағындағы қосымша қуаты тәулігіне 24,0 мың текше метрлік су тұщыту қондырғыларының құрылысын салу;</w:t>
      </w:r>
    </w:p>
    <w:p w:rsidR="00486C7A" w:rsidP="00486C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Кендірлі ауылында қуаты тәулігіне 50,0 мың текше метр су тұщыту зауытын салу;</w:t>
      </w:r>
    </w:p>
    <w:p w:rsidR="00486C7A" w:rsidP="00486C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Құрық ауылында қуаты тәулігіне 50 000 м3 су тұщыту зауытын салу;</w:t>
      </w:r>
    </w:p>
    <w:p w:rsidR="00486C7A" w:rsidP="00486C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Бейнеу ауданының Боранқұл ауылында қуаты тәулігіне 80,0 мың текше метр су тұщыту зауытын және су тартқышын салу;</w:t>
      </w:r>
    </w:p>
    <w:p w:rsidR="00486C7A" w:rsidP="00486C7A">
      <w:pPr>
        <w:pStyle w:val="ListParagraph"/>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«Астрахань-Маңғышлақ» суағызғысын жаңғырту.</w:t>
      </w:r>
    </w:p>
    <w:p w:rsidR="00486C7A" w:rsidP="00486C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2021 жылдың 4 қарашасында Маңғыстау облысының әлеуметтік-экономикалық дамуының 2021-2025 жылдарға арналған кешенді жоспары </w:t>
      </w:r>
      <w:r>
        <w:rPr>
          <w:rFonts w:ascii="Times New Roman" w:hAnsi="Times New Roman" w:cs="Times New Roman"/>
          <w:i/>
          <w:sz w:val="24"/>
          <w:szCs w:val="28"/>
          <w:lang w:val="kk-KZ"/>
        </w:rPr>
        <w:t>(бұдан әрі – Кешенді жоспар)</w:t>
      </w:r>
      <w:r>
        <w:rPr>
          <w:rFonts w:ascii="Times New Roman" w:hAnsi="Times New Roman" w:cs="Times New Roman"/>
          <w:sz w:val="28"/>
          <w:szCs w:val="28"/>
          <w:lang w:val="kk-KZ"/>
        </w:rPr>
        <w:t xml:space="preserve"> бекітілді. Кешенді жоспарда жоғарыда аталған мәселелерді шешу мақсатында бірнеше шаралар қарастырылған</w:t>
      </w:r>
      <w:r w:rsidR="00C9738C">
        <w:rPr>
          <w:rFonts w:ascii="Times New Roman" w:hAnsi="Times New Roman" w:cs="Times New Roman"/>
          <w:sz w:val="28"/>
          <w:szCs w:val="28"/>
          <w:lang w:val="kk-KZ"/>
        </w:rPr>
        <w:t>.</w:t>
      </w:r>
      <w:r>
        <w:rPr>
          <w:rFonts w:ascii="Times New Roman" w:hAnsi="Times New Roman" w:cs="Times New Roman"/>
          <w:sz w:val="28"/>
          <w:szCs w:val="28"/>
          <w:lang w:val="kk-KZ"/>
        </w:rPr>
        <w:t xml:space="preserve"> Ақтау халықаралық әуежайында жаңа терминал салу, Ақтау қаласында автовокзал салу, Маңғыстау облысының облыс орталығы үшін жаңа теміржол вокзалын салу мәселесін пысықтау және Ақтау, Жаңаөзен қалаларының автобус паркін және ауданаралық облысішілік маршруттарды жаңарту жобалары қосылды. </w:t>
      </w:r>
    </w:p>
    <w:p w:rsidR="00486C7A" w:rsidP="00486C7A">
      <w:pPr>
        <w:pStyle w:val="NormalWeb"/>
        <w:spacing w:before="0" w:beforeAutospacing="0" w:after="0" w:afterAutospacing="0"/>
        <w:ind w:firstLine="709"/>
        <w:jc w:val="both"/>
        <w:rPr>
          <w:rFonts w:eastAsiaTheme="minorHAnsi"/>
          <w:sz w:val="28"/>
          <w:szCs w:val="28"/>
          <w:lang w:val="kk-KZ" w:eastAsia="en-US"/>
        </w:rPr>
      </w:pPr>
      <w:r>
        <w:rPr>
          <w:rFonts w:eastAsiaTheme="minorHAnsi"/>
          <w:sz w:val="28"/>
          <w:szCs w:val="28"/>
          <w:lang w:val="kk-KZ" w:eastAsia="en-US"/>
        </w:rPr>
        <w:t>Өз кезегінде, аталған жобалардың жүзеге асырылуы Маңғыстау облысындағы экономикалық-әлеуметтік мәселелерді шешуге және ішкі туризмнің қарқынды дамуына тікелей ықпал ететін болады.</w:t>
      </w:r>
    </w:p>
    <w:p w:rsidR="00486C7A" w:rsidP="00486C7A">
      <w:pPr>
        <w:spacing w:after="0" w:line="240" w:lineRule="auto"/>
        <w:rPr>
          <w:lang w:val="kk-KZ"/>
        </w:rPr>
      </w:pPr>
    </w:p>
    <w:p w:rsidR="00366764" w:rsidRPr="00C17D96" w:rsidP="00486C7A">
      <w:pPr>
        <w:pStyle w:val="NormalWeb"/>
        <w:spacing w:before="0" w:beforeAutospacing="0" w:after="0" w:afterAutospacing="0"/>
        <w:ind w:firstLine="708"/>
        <w:jc w:val="both"/>
        <w:rPr>
          <w:lang w:val="kk-KZ"/>
        </w:rPr>
      </w:pPr>
    </w:p>
    <w:sectPr w:rsidSect="00486C7A">
      <w:headerReference w:type="default" r:id="rId4"/>
      <w:headerReference w:type="first" r:id="rId5"/>
      <w:pgSz w:w="11906" w:h="16838"/>
      <w:pgMar w:top="1418"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224836"/>
      <w:docPartObj>
        <w:docPartGallery w:val="Page Numbers (Top of Page)"/>
        <w:docPartUnique/>
      </w:docPartObj>
    </w:sdtPr>
    <w:sdtContent>
      <w:p w:rsidR="00D72A1A">
        <w:pPr>
          <w:pStyle w:val="Header"/>
          <w:jc w:val="center"/>
        </w:pPr>
        <w:r>
          <w:fldChar w:fldCharType="begin"/>
        </w:r>
        <w:r>
          <w:instrText>PAGE   \* MERGEFORMAT</w:instrText>
        </w:r>
        <w:r>
          <w:fldChar w:fldCharType="separate"/>
        </w:r>
        <w:r w:rsidR="00974930">
          <w:rPr>
            <w:noProof/>
          </w:rPr>
          <w:t>4</w:t>
        </w:r>
        <w:r>
          <w:fldChar w:fldCharType="end"/>
        </w:r>
      </w:p>
    </w:sdtContent>
  </w:sdt>
  <w:p w:rsidR="00D72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93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4930" w:rsidRPr="00974930">
                          <w:pPr>
                            <w:rPr>
                              <w:rFonts w:ascii="Times New Roman" w:hAnsi="Times New Roman" w:cs="Times New Roman"/>
                              <w:color w:val="0C0000"/>
                              <w:sz w:val="14"/>
                            </w:rPr>
                          </w:pPr>
                          <w:r>
                            <w:rPr>
                              <w:rFonts w:ascii="Times New Roman" w:hAnsi="Times New Roman" w:cs="Times New Roman"/>
                              <w:color w:val="0C0000"/>
                              <w:sz w:val="14"/>
                            </w:rPr>
                            <w:t xml:space="preserve">26.11.2021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48.7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974930" w:rsidRPr="00974930">
                    <w:pPr>
                      <w:rPr>
                        <w:rFonts w:ascii="Times New Roman" w:hAnsi="Times New Roman" w:cs="Times New Roman"/>
                        <w:color w:val="0C0000"/>
                        <w:sz w:val="14"/>
                      </w:rPr>
                    </w:pPr>
                    <w:r>
                      <w:rPr>
                        <w:rFonts w:ascii="Times New Roman" w:hAnsi="Times New Roman" w:cs="Times New Roman"/>
                        <w:color w:val="0C0000"/>
                        <w:sz w:val="14"/>
                      </w:rPr>
                      <w:t xml:space="preserve">26.11.2021 ЭҚАБЖ МО (7.23.0 нұсқасы)  ЭЦҚ-ны тексерудің нәтижесі оң.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7D3445"/>
    <w:multiLevelType w:val="hybridMultilevel"/>
    <w:tmpl w:val="6958CB52"/>
    <w:lvl w:ilvl="0">
      <w:start w:val="0"/>
      <w:numFmt w:val="bullet"/>
      <w:lvlText w:val="-"/>
      <w:lvlJc w:val="left"/>
      <w:pPr>
        <w:ind w:left="1069" w:hanging="360"/>
      </w:pPr>
      <w:rPr>
        <w:rFonts w:ascii="Times New Roman" w:eastAsia="Calibri" w:hAnsi="Times New Roman"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
    <w:nsid w:val="434F02C8"/>
    <w:multiLevelType w:val="hybridMultilevel"/>
    <w:tmpl w:val="E6701266"/>
    <w:lvl w:ilvl="0">
      <w:start w:val="1"/>
      <w:numFmt w:val="decimal"/>
      <w:lvlText w:val="%1)"/>
      <w:lvlJc w:val="left"/>
      <w:pPr>
        <w:ind w:left="2136" w:hanging="360"/>
      </w:pPr>
      <w:rPr>
        <w:rFonts w:hint="default"/>
        <w:b w:val="0"/>
        <w:lang w:val="kk-KZ"/>
      </w:rPr>
    </w:lvl>
    <w:lvl w:ilvl="1" w:tentative="1">
      <w:start w:val="1"/>
      <w:numFmt w:val="lowerLetter"/>
      <w:lvlText w:val="%2."/>
      <w:lvlJc w:val="left"/>
      <w:pPr>
        <w:ind w:left="2856" w:hanging="360"/>
      </w:pPr>
    </w:lvl>
    <w:lvl w:ilvl="2" w:tentative="1">
      <w:start w:val="1"/>
      <w:numFmt w:val="lowerRoman"/>
      <w:lvlText w:val="%3."/>
      <w:lvlJc w:val="right"/>
      <w:pPr>
        <w:ind w:left="3576" w:hanging="180"/>
      </w:pPr>
    </w:lvl>
    <w:lvl w:ilvl="3" w:tentative="1">
      <w:start w:val="1"/>
      <w:numFmt w:val="decimal"/>
      <w:lvlText w:val="%4."/>
      <w:lvlJc w:val="left"/>
      <w:pPr>
        <w:ind w:left="4296" w:hanging="360"/>
      </w:pPr>
    </w:lvl>
    <w:lvl w:ilvl="4" w:tentative="1">
      <w:start w:val="1"/>
      <w:numFmt w:val="lowerLetter"/>
      <w:lvlText w:val="%5."/>
      <w:lvlJc w:val="left"/>
      <w:pPr>
        <w:ind w:left="5016" w:hanging="360"/>
      </w:pPr>
    </w:lvl>
    <w:lvl w:ilvl="5" w:tentative="1">
      <w:start w:val="1"/>
      <w:numFmt w:val="lowerRoman"/>
      <w:lvlText w:val="%6."/>
      <w:lvlJc w:val="right"/>
      <w:pPr>
        <w:ind w:left="5736" w:hanging="180"/>
      </w:pPr>
    </w:lvl>
    <w:lvl w:ilvl="6" w:tentative="1">
      <w:start w:val="1"/>
      <w:numFmt w:val="decimal"/>
      <w:lvlText w:val="%7."/>
      <w:lvlJc w:val="left"/>
      <w:pPr>
        <w:ind w:left="6456" w:hanging="360"/>
      </w:pPr>
    </w:lvl>
    <w:lvl w:ilvl="7" w:tentative="1">
      <w:start w:val="1"/>
      <w:numFmt w:val="lowerLetter"/>
      <w:lvlText w:val="%8."/>
      <w:lvlJc w:val="left"/>
      <w:pPr>
        <w:ind w:left="7176" w:hanging="360"/>
      </w:pPr>
    </w:lvl>
    <w:lvl w:ilvl="8" w:tentative="1">
      <w:start w:val="1"/>
      <w:numFmt w:val="lowerRoman"/>
      <w:lvlText w:val="%9."/>
      <w:lvlJc w:val="right"/>
      <w:pPr>
        <w:ind w:left="7896"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AazMCssMEm1zWqlnz9bY000GmN6Ynkk+i56SctMaRX0SHf/Ho0HjaSCmDm0biSO+9gIzAHOJ3aE&#10;oJQDN1mY/Q==&#10;" w:salt="rLTRo5E0NZVyK8CeUhKcbQ==&#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717"/>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Знак"/>
    <w:basedOn w:val="Normal"/>
    <w:autoRedefine/>
    <w:rsid w:val="00A003BB"/>
    <w:pPr>
      <w:spacing w:after="160" w:line="240" w:lineRule="exact"/>
    </w:pPr>
    <w:rPr>
      <w:rFonts w:ascii="Times New Roman" w:eastAsia="SimSun" w:hAnsi="Times New Roman" w:cs="Times New Roman"/>
      <w:b/>
      <w:sz w:val="28"/>
      <w:szCs w:val="24"/>
      <w:lang w:val="en-US" w:eastAsia="en-US"/>
    </w:rPr>
  </w:style>
  <w:style w:type="character" w:customStyle="1" w:styleId="tlid-translation">
    <w:name w:val="tlid-translation"/>
    <w:basedOn w:val="DefaultParagraphFont"/>
    <w:rsid w:val="009D15C0"/>
  </w:style>
  <w:style w:type="paragraph" w:styleId="BalloonText">
    <w:name w:val="Balloon Text"/>
    <w:basedOn w:val="Normal"/>
    <w:link w:val="a0"/>
    <w:uiPriority w:val="99"/>
    <w:semiHidden/>
    <w:unhideWhenUsed/>
    <w:rsid w:val="002A749E"/>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2A749E"/>
    <w:rPr>
      <w:rFonts w:ascii="Tahoma" w:hAnsi="Tahoma" w:eastAsiaTheme="minorEastAsia" w:cs="Tahoma"/>
      <w:sz w:val="16"/>
      <w:szCs w:val="16"/>
      <w:lang w:eastAsia="ru-RU"/>
    </w:rPr>
  </w:style>
  <w:style w:type="paragraph" w:styleId="Header">
    <w:name w:val="header"/>
    <w:basedOn w:val="Normal"/>
    <w:link w:val="a1"/>
    <w:uiPriority w:val="99"/>
    <w:unhideWhenUsed/>
    <w:rsid w:val="00D72A1A"/>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D72A1A"/>
    <w:rPr>
      <w:rFonts w:eastAsiaTheme="minorEastAsia"/>
      <w:lang w:eastAsia="ru-RU"/>
    </w:rPr>
  </w:style>
  <w:style w:type="paragraph" w:styleId="Footer">
    <w:name w:val="footer"/>
    <w:basedOn w:val="Normal"/>
    <w:link w:val="a2"/>
    <w:uiPriority w:val="99"/>
    <w:unhideWhenUsed/>
    <w:rsid w:val="00D72A1A"/>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D72A1A"/>
    <w:rPr>
      <w:rFonts w:eastAsiaTheme="minorEastAsia"/>
      <w:lang w:eastAsia="ru-RU"/>
    </w:rPr>
  </w:style>
  <w:style w:type="paragraph" w:styleId="ListParagraph">
    <w:name w:val="List Paragraph"/>
    <w:aliases w:val="2nd Tier Header,Akapit z listą BS,Bullets,IBL List Paragraph,List Paragraph (numbered (a)),List Paragraph 1,List Paragraph nowy,List_Paragraph,Multilevel para_II,NUMBERED PARAGRAPH,References,UL,strich,Абзац списка1,без абзаца,маркированный"/>
    <w:basedOn w:val="Normal"/>
    <w:link w:val="a3"/>
    <w:uiPriority w:val="34"/>
    <w:qFormat/>
    <w:rsid w:val="00994A86"/>
    <w:pPr>
      <w:spacing w:after="160" w:line="259" w:lineRule="auto"/>
      <w:ind w:left="720"/>
      <w:contextualSpacing/>
    </w:pPr>
    <w:rPr>
      <w:rFonts w:eastAsiaTheme="minorHAnsi"/>
      <w:lang w:eastAsia="en-US"/>
    </w:rPr>
  </w:style>
  <w:style w:type="character" w:customStyle="1" w:styleId="a3">
    <w:name w:val="Абзац списка Знак"/>
    <w:aliases w:val="2nd Tier Header Знак,Bullets Знак,List Paragraph (numbered (a)) Знак,List Paragraph 1 Знак,List_Paragraph Знак,Multilevel para_II Знак,NUMBERED PARAGRAPH Знак,References Знак,UL Знак,strich Знак,без абзаца Знак,маркированный Знак"/>
    <w:link w:val="ListParagraph"/>
    <w:uiPriority w:val="34"/>
    <w:qFormat/>
    <w:locked/>
    <w:rsid w:val="0099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1481</Words>
  <Characters>8446</Characters>
  <Application>Microsoft Office Word</Application>
  <DocSecurity>8</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6</cp:revision>
</cp:coreProperties>
</file>