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12.0.0 -->
  <w:body>
    <w:tbl>
      <w:tblPr>
        <w:tblW w:w="0" w:type="auto"/>
        <w:tblLayout w:type="fixed"/>
        <w:tblCellMar>
          <w:top w:w="0" w:type="dxa"/>
          <w:bottom w:w="0" w:type="dxa"/>
        </w:tblCellMar>
        <w:tblLook w:val="0000"/>
      </w:tblPr>
      <w:tblGrid>
        <w:gridCol w:w="9354"/>
      </w:tblGrid>
      <w:tr w:rsidTr="007412AF">
        <w:tblPrEx>
          <w:tblW w:w="0" w:type="auto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tcW w:w="9354" w:type="dxa"/>
            <w:shd w:val="clear" w:color="auto" w:fill="auto"/>
          </w:tcPr>
          <w:p w:rsidR="007412AF" w:rsidRPr="007412AF" w:rsidP="00AF4FE5">
            <w:pPr>
              <w:rPr>
                <w:rFonts w:ascii="Times New Roman" w:hAnsi="Times New Roman" w:cs="Times New Roman"/>
                <w:color w:val="0C0000"/>
                <w:sz w:val="24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</w:rPr>
              <w:t>№ исх: 16-13-119Д/С   от: 22.04.2022</w:t>
            </w:r>
          </w:p>
        </w:tc>
      </w:tr>
    </w:tbl>
    <w:p w:rsidR="00AF4FE5" w:rsidP="00AF4FE5">
      <w:pPr>
        <w:ind w:left="-567"/>
      </w:pPr>
      <w:r>
        <w:rPr>
          <w:noProof/>
          <w:lang w:eastAsia="ru-RU"/>
        </w:rPr>
        <w:drawing>
          <wp:inline distT="0" distB="0" distL="0" distR="0">
            <wp:extent cx="6523990" cy="28473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3990" cy="2847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F4FE5" w:rsidRPr="00C06748" w:rsidP="00BF1ACD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</w:t>
      </w:r>
      <w:r w:rsidRPr="00C067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Премьер-Министр</w:t>
      </w:r>
      <w:r w:rsidR="0001371D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у</w:t>
      </w:r>
      <w:r w:rsidRPr="00C067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F4FE5" w:rsidRPr="00C06748" w:rsidP="00BF1ACD">
      <w:pPr>
        <w:spacing w:after="0" w:line="240" w:lineRule="auto"/>
        <w:ind w:left="6096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Республики Казахстан А</w:t>
      </w:r>
      <w:r w:rsidR="00BF1ACD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.</w:t>
      </w:r>
      <w:r w:rsidR="0033731D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kk-KZ" w:eastAsia="ru-RU"/>
        </w:rPr>
        <w:t>А</w:t>
      </w:r>
      <w:r w:rsidRPr="00C06748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kk-KZ" w:eastAsia="ru-RU"/>
        </w:rPr>
        <w:t>СМАЙЫЛОВУ</w:t>
      </w:r>
      <w:r w:rsidRPr="00C06748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</w:t>
      </w:r>
    </w:p>
    <w:p w:rsidR="00AF4FE5" w:rsidP="00AF4FE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4FE5" w:rsidRPr="00C06748" w:rsidP="00AF4FE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4FE5" w:rsidRPr="00C06748" w:rsidP="00AF4F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Уважаемый А</w:t>
      </w:r>
      <w:r w:rsidR="0033731D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лихан</w:t>
      </w:r>
      <w:r w:rsidRPr="00C067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3731D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Асхан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ович</w:t>
      </w:r>
      <w:r w:rsidRPr="00C067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!</w:t>
      </w:r>
    </w:p>
    <w:p w:rsidR="00AF4FE5" w:rsidRPr="00522C0D" w:rsidP="00AF4F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6857" w:rsidP="00BE7E1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Глава государства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Касым-Жомарт Кемелевич Токаев на расширенном заседании Правительства 10 июля 2021 года отметил, что г</w:t>
      </w:r>
      <w:r w:rsidRPr="003B65E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од назад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данное</w:t>
      </w:r>
      <w:r w:rsidRPr="003B65E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поручение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о </w:t>
      </w:r>
      <w:r w:rsidRPr="003B65E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принят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ии</w:t>
      </w:r>
      <w:r w:rsidRPr="003B65E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системны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х мер</w:t>
      </w:r>
      <w:r w:rsidRPr="003B65E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в отношении стихийных свалок пока не решен</w:t>
      </w:r>
      <w:r w:rsidR="00EA6D2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и поставил задачу перед Правительством по ликвидации несанкционированных свалок.</w:t>
      </w:r>
      <w:r w:rsidRPr="003B65E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</w:p>
    <w:p w:rsidR="0001371D" w:rsidP="00BE7E1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</w:t>
      </w:r>
      <w:r w:rsidRPr="00AF363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роблема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и обращения с коммунальными отходами на всей территории Республики Казахстан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по сей день не снимается с повестки дня. Их</w:t>
      </w:r>
      <w:r w:rsidRPr="00AF36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объем образования растёт с каждым годом, а система управления отходами отсутствует, что создает препятствие для устойчивого развития населённых пунктов и снижает качество жизни населения. </w:t>
      </w:r>
    </w:p>
    <w:p w:rsidR="00F3051F" w:rsidP="00BE7E1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8021B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Анализ существующего положения с коммунальными отходами показал, что в регионах отсутствует как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ой</w:t>
      </w:r>
      <w:r w:rsidRPr="008021B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-либо систем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ный и комплексный подход </w:t>
      </w:r>
      <w:r w:rsidRPr="000D09C9" w:rsidR="0047146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по</w:t>
      </w:r>
      <w:r w:rsidRPr="000D09C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управлени</w:t>
      </w:r>
      <w:r w:rsidRPr="000D09C9" w:rsidR="0047146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ю</w:t>
      </w:r>
      <w:r w:rsidRPr="000D09C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ими</w:t>
      </w:r>
      <w:r w:rsidRPr="008021B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В справке министерства Экологии, геологии и природных ресурсов Республики Казахстан</w:t>
      </w:r>
      <w:r w:rsidR="00AA6EF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(далее – </w:t>
      </w:r>
      <w:r w:rsidRPr="00D927A6" w:rsidR="00AA6EF5">
        <w:rPr>
          <w:rFonts w:ascii="Times New Roman" w:hAnsi="Times New Roman" w:cs="Times New Roman"/>
          <w:sz w:val="28"/>
          <w:szCs w:val="28"/>
        </w:rPr>
        <w:t>МЭГиПР</w:t>
      </w:r>
      <w:r w:rsidR="00AA6EF5">
        <w:rPr>
          <w:rFonts w:ascii="Times New Roman" w:hAnsi="Times New Roman" w:cs="Times New Roman"/>
          <w:sz w:val="28"/>
          <w:szCs w:val="28"/>
          <w:lang w:val="kk-KZ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,</w:t>
      </w:r>
      <w:r w:rsidRPr="004A2914" w:rsidR="004A2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предоставленной для материалов круглого стола на тему: «О проблемных вопросах в сфере обращения с отходами», проведенноного Комитетом по Аграрным вопросам, природопользованию и развитию сельских территорий Сената Парламента Республики Казахстан 22 декабря 2021 года, отмеч</w:t>
      </w:r>
      <w:r w:rsidR="0074628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ается, что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74628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текущая ситуация с полигонами твердых бытовых отходов в регионах в </w:t>
      </w:r>
      <w:r w:rsidR="0074628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значительной мере осложняет общую экологическую ситуацию, приводит к загрязнению грунтовых и подземных вод, образованию новых стихийных свалок, создает серьезную опасность для здоровья населения, влечет за собой </w:t>
      </w:r>
      <w:r w:rsidRPr="008C5F75" w:rsidR="0074628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экономический ущерб за счет безвозвратных потерь потенциальных вторичных ресурсов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</w:p>
    <w:p w:rsidR="0001371D" w:rsidRPr="008021B6" w:rsidP="00BE7E1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8021B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Данные государственной статистической отчетности не отражают положение дел на местах, т</w:t>
      </w:r>
      <w:r w:rsidR="006460F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ак как</w:t>
      </w:r>
      <w:r w:rsidRPr="008021B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недостоверны и противоречивы</w:t>
      </w:r>
      <w:r w:rsidRPr="004C04F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, ввиду отсутствия прозрачного учета и контроля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на местах</w:t>
      </w:r>
      <w:r w:rsidRPr="004C04F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Например, п</w:t>
      </w:r>
      <w:r w:rsidRPr="004C04F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о данным статистики население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г.</w:t>
      </w:r>
      <w:r w:rsidR="006460F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Алматы </w:t>
      </w:r>
      <w:r w:rsidRPr="004C04F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с 2015 по 2020 годы </w:t>
      </w:r>
      <w:r w:rsidRPr="004A291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увеличилось</w:t>
      </w:r>
      <w:r w:rsidRPr="004C04F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на 16,1%, а  объем собранных и вывезенных отходов домашних хозяйств </w:t>
      </w:r>
      <w:r w:rsidRPr="004A291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уменьшился</w:t>
      </w:r>
      <w:r w:rsidRPr="004C04F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на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14</w:t>
      </w:r>
      <w:r w:rsidRPr="004C04F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,5%, что противоречит закономерностям  и мо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жет</w:t>
      </w:r>
      <w:r w:rsidRPr="004C04F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быть объяснен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 только</w:t>
      </w:r>
      <w:r w:rsidRPr="004C04F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низким качеством отчётности.</w:t>
      </w:r>
      <w:r w:rsidRPr="008021B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Анализом же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статистических</w:t>
      </w:r>
      <w:r w:rsidRPr="008021B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данных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государственной отчетности по отходам </w:t>
      </w:r>
      <w:r w:rsidRPr="008021B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никто не занимается. Сбор, вывоз и захоронение отходов идет «по инерции»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, а объем отходов на каждой стадии в 90% случаях определяется «на глаз». </w:t>
      </w:r>
    </w:p>
    <w:p w:rsidR="00D81F04" w:rsidRPr="002F5604" w:rsidP="00BE7E1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60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По данным экологов, ежегодно собирается около </w:t>
      </w:r>
      <w:r w:rsidRPr="002F5604" w:rsidR="003E734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E723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,</w:t>
      </w:r>
      <w:r w:rsidRPr="002F5604" w:rsidR="003E734A">
        <w:rPr>
          <w:rFonts w:ascii="Times New Roman" w:eastAsia="Times New Roman" w:hAnsi="Times New Roman" w:cs="Times New Roman"/>
          <w:sz w:val="28"/>
          <w:szCs w:val="28"/>
          <w:lang w:eastAsia="ru-RU"/>
        </w:rPr>
        <w:t>5-</w:t>
      </w:r>
      <w:r w:rsidRPr="002F560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5 млн</w:t>
      </w:r>
      <w:r w:rsidR="004A291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  <w:r w:rsidRPr="002F560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тонн отходов, из них сортируется только около 1 млн</w:t>
      </w:r>
      <w:r w:rsidR="004A291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  <w:r w:rsidRPr="002F560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тонн, количество перерабатываемых отходов составляет </w:t>
      </w:r>
      <w:r w:rsidR="005F0A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всего лишь </w:t>
      </w:r>
      <w:r w:rsidRPr="002F560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около 13-15 тыс. тонн</w:t>
      </w:r>
      <w:r w:rsidRPr="002F5604" w:rsidR="00D927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417AF" w:rsidRPr="00485EBA" w:rsidP="00BE7E1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417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стране накоплено порядка 31,6 млрд. тонн промышленных отходов. </w:t>
      </w:r>
      <w:r w:rsidRPr="007417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Ежегодно образуется около 1 млрд. тонн. Это, в основном, </w:t>
      </w:r>
      <w:r w:rsidR="004A29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                   </w:t>
      </w:r>
      <w:r w:rsidRPr="007417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техногенно</w:t>
      </w:r>
      <w:r w:rsidR="004A29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-</w:t>
      </w:r>
      <w:r w:rsidRPr="007417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минеральные образования, включая вскрышную породу и золошлаки (70% от общего объема), отходы обрабатывающей промышленности (10 % от общего объема) и пр. деятельности (20 %). </w:t>
      </w:r>
      <w:r w:rsidRPr="007417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3390" w:rsidRPr="00522C0D" w:rsidP="00BE7E1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7AF">
        <w:rPr>
          <w:rFonts w:ascii="Times New Roman" w:hAnsi="Times New Roman" w:cs="Times New Roman"/>
          <w:sz w:val="28"/>
          <w:szCs w:val="28"/>
        </w:rPr>
        <w:t>Проблема утилизации твердых отходов промышленного происхождения приобретает в настоящее время все более острый характер в связи</w:t>
      </w:r>
      <w:r w:rsidRPr="00522C0D">
        <w:rPr>
          <w:rFonts w:ascii="Times New Roman" w:hAnsi="Times New Roman" w:cs="Times New Roman"/>
          <w:sz w:val="28"/>
          <w:szCs w:val="28"/>
        </w:rPr>
        <w:t xml:space="preserve"> с тем, что объемы генерирования отходов постоянно растут, в то время как темпы их переработки несопоставимо малы. Уровень обезвреживания опасных отходов также крайне мал. </w:t>
      </w:r>
    </w:p>
    <w:p w:rsidR="00522C0D" w:rsidRPr="00522C0D" w:rsidP="00BE7E1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2C0D">
        <w:rPr>
          <w:rFonts w:ascii="Times New Roman" w:eastAsia="Calibri" w:hAnsi="Times New Roman" w:cs="Times New Roman"/>
          <w:sz w:val="28"/>
          <w:szCs w:val="28"/>
        </w:rPr>
        <w:t xml:space="preserve">Фактический объем эмиссии загрязняющих веществ в атмосферу по итогам 2021 года составил: выбросы – 2,4 млн. тонн </w:t>
      </w:r>
      <w:r w:rsidRPr="00522C0D">
        <w:rPr>
          <w:rFonts w:ascii="Times New Roman" w:eastAsia="Calibri" w:hAnsi="Times New Roman" w:cs="Times New Roman"/>
          <w:i/>
          <w:sz w:val="28"/>
          <w:szCs w:val="28"/>
        </w:rPr>
        <w:t>(2020 г.- 2,57 млн. тонн),</w:t>
      </w:r>
      <w:r w:rsidRPr="00522C0D">
        <w:rPr>
          <w:rFonts w:ascii="Times New Roman" w:eastAsia="Calibri" w:hAnsi="Times New Roman" w:cs="Times New Roman"/>
          <w:sz w:val="28"/>
          <w:szCs w:val="28"/>
        </w:rPr>
        <w:t xml:space="preserve"> сбросы – 1,0 млн. тонн </w:t>
      </w:r>
      <w:r w:rsidRPr="00522C0D">
        <w:rPr>
          <w:rFonts w:ascii="Times New Roman" w:eastAsia="Calibri" w:hAnsi="Times New Roman" w:cs="Times New Roman"/>
          <w:i/>
          <w:sz w:val="28"/>
          <w:szCs w:val="28"/>
        </w:rPr>
        <w:t>(2020 г.- 1,1 млн. тонн).</w:t>
      </w:r>
      <w:r w:rsidRPr="00522C0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23390" w:rsidRPr="00522C0D" w:rsidP="00BE7E1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C0D">
        <w:rPr>
          <w:rFonts w:ascii="Times New Roman" w:hAnsi="Times New Roman" w:cs="Times New Roman"/>
          <w:sz w:val="28"/>
          <w:szCs w:val="28"/>
        </w:rPr>
        <w:t>В Алматы в 2020 году было собрано 414</w:t>
      </w:r>
      <w:r w:rsidRPr="00522C0D" w:rsidR="003F0E5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22C0D">
        <w:rPr>
          <w:rFonts w:ascii="Times New Roman" w:hAnsi="Times New Roman" w:cs="Times New Roman"/>
          <w:sz w:val="28"/>
          <w:szCs w:val="28"/>
        </w:rPr>
        <w:t>734 тонны коммунальных отходов.</w:t>
      </w:r>
    </w:p>
    <w:p w:rsidR="003D351F" w:rsidRPr="004A2914" w:rsidP="00BE7E11">
      <w:pPr>
        <w:pStyle w:val="Default"/>
        <w:ind w:firstLine="709"/>
        <w:jc w:val="both"/>
        <w:rPr>
          <w:color w:val="auto"/>
          <w:sz w:val="28"/>
          <w:szCs w:val="28"/>
          <w:lang w:val="kk-KZ"/>
        </w:rPr>
      </w:pPr>
      <w:r w:rsidRPr="00522C0D">
        <w:rPr>
          <w:color w:val="auto"/>
          <w:sz w:val="28"/>
          <w:szCs w:val="28"/>
        </w:rPr>
        <w:t xml:space="preserve">На территории </w:t>
      </w:r>
      <w:r w:rsidRPr="00523390">
        <w:rPr>
          <w:color w:val="auto"/>
          <w:sz w:val="28"/>
          <w:szCs w:val="28"/>
        </w:rPr>
        <w:t xml:space="preserve">Алматинской агломерации, как и во всем мире, количество отходов, в том числе </w:t>
      </w:r>
      <w:r w:rsidRPr="003D351F">
        <w:rPr>
          <w:color w:val="auto"/>
          <w:sz w:val="28"/>
          <w:szCs w:val="28"/>
          <w:lang w:val="kk-KZ"/>
        </w:rPr>
        <w:t>биоразлагаемых отходов</w:t>
      </w:r>
      <w:r w:rsidRPr="00523390">
        <w:rPr>
          <w:color w:val="auto"/>
          <w:sz w:val="28"/>
          <w:szCs w:val="28"/>
        </w:rPr>
        <w:t>, постоянно растет, нанося значительный ущерб окружающей среде в виде выбросов парниковых газов, загрязнения почвы</w:t>
      </w:r>
      <w:r w:rsidRPr="003D351F">
        <w:rPr>
          <w:color w:val="auto"/>
          <w:sz w:val="28"/>
          <w:szCs w:val="28"/>
          <w:lang w:val="kk-KZ"/>
        </w:rPr>
        <w:t xml:space="preserve"> и воды.</w:t>
      </w:r>
      <w:r w:rsidRPr="003D351F">
        <w:rPr>
          <w:color w:val="auto"/>
          <w:sz w:val="28"/>
          <w:szCs w:val="28"/>
        </w:rPr>
        <w:t xml:space="preserve"> </w:t>
      </w:r>
      <w:r w:rsidRPr="003D351F">
        <w:rPr>
          <w:color w:val="auto"/>
          <w:sz w:val="28"/>
          <w:szCs w:val="28"/>
          <w:lang w:val="kk-KZ"/>
        </w:rPr>
        <w:t>О</w:t>
      </w:r>
      <w:r w:rsidRPr="00523390">
        <w:rPr>
          <w:color w:val="auto"/>
          <w:sz w:val="28"/>
          <w:szCs w:val="28"/>
        </w:rPr>
        <w:t>ценочно, в 2019 году на территории агломерации образовалось порядка 650 тыс</w:t>
      </w:r>
      <w:r w:rsidR="003F0E57">
        <w:rPr>
          <w:color w:val="auto"/>
          <w:sz w:val="28"/>
          <w:szCs w:val="28"/>
          <w:lang w:val="kk-KZ"/>
        </w:rPr>
        <w:t>.</w:t>
      </w:r>
      <w:r w:rsidRPr="00523390">
        <w:rPr>
          <w:color w:val="auto"/>
          <w:sz w:val="28"/>
          <w:szCs w:val="28"/>
        </w:rPr>
        <w:t xml:space="preserve"> тонн </w:t>
      </w:r>
      <w:r w:rsidRPr="003D351F">
        <w:rPr>
          <w:color w:val="auto"/>
          <w:sz w:val="28"/>
          <w:szCs w:val="28"/>
          <w:lang w:val="kk-KZ"/>
        </w:rPr>
        <w:t>биоразлагаемых отходов</w:t>
      </w:r>
      <w:r w:rsidRPr="00523390">
        <w:rPr>
          <w:color w:val="auto"/>
          <w:sz w:val="28"/>
          <w:szCs w:val="28"/>
        </w:rPr>
        <w:t>. К 2030 году эта цифра может вырасти до 920 тыс</w:t>
      </w:r>
      <w:r w:rsidR="003F0E57">
        <w:rPr>
          <w:color w:val="auto"/>
          <w:sz w:val="28"/>
          <w:szCs w:val="28"/>
          <w:lang w:val="kk-KZ"/>
        </w:rPr>
        <w:t>.</w:t>
      </w:r>
      <w:r w:rsidRPr="00523390">
        <w:rPr>
          <w:color w:val="auto"/>
          <w:sz w:val="28"/>
          <w:szCs w:val="28"/>
        </w:rPr>
        <w:t xml:space="preserve"> тонн</w:t>
      </w:r>
      <w:r w:rsidRPr="003D351F">
        <w:rPr>
          <w:color w:val="auto"/>
          <w:sz w:val="28"/>
          <w:szCs w:val="28"/>
        </w:rPr>
        <w:t xml:space="preserve"> </w:t>
      </w:r>
      <w:r w:rsidRPr="00523390">
        <w:rPr>
          <w:color w:val="auto"/>
          <w:sz w:val="28"/>
          <w:szCs w:val="28"/>
        </w:rPr>
        <w:t>в год</w:t>
      </w:r>
      <w:r w:rsidRPr="003D351F">
        <w:rPr>
          <w:color w:val="auto"/>
          <w:sz w:val="28"/>
          <w:szCs w:val="28"/>
          <w:lang w:val="kk-KZ"/>
        </w:rPr>
        <w:t xml:space="preserve">. На сегодняшний день инфраструктура для переработки биоразлагаемых отходов не создана. Хотя результаты их переработки </w:t>
      </w:r>
      <w:r>
        <w:rPr>
          <w:color w:val="auto"/>
          <w:sz w:val="28"/>
          <w:szCs w:val="28"/>
          <w:lang w:val="kk-KZ"/>
        </w:rPr>
        <w:t xml:space="preserve">- </w:t>
      </w:r>
      <w:r w:rsidRPr="003D351F">
        <w:rPr>
          <w:color w:val="auto"/>
          <w:sz w:val="28"/>
          <w:szCs w:val="28"/>
        </w:rPr>
        <w:t xml:space="preserve">продукты, востребованные в городском, коммунальном и сельском хозяйстве, а также другими потребителями: компосты, почвогрунты, органические удобрения, материалы для </w:t>
      </w:r>
      <w:r w:rsidRPr="003D351F">
        <w:rPr>
          <w:color w:val="auto"/>
          <w:sz w:val="28"/>
          <w:szCs w:val="28"/>
        </w:rPr>
        <w:t xml:space="preserve">рекультивации нарушенных земель. Использование биокомпоста улучшает структуру почвы, воздухопроницаемость, влагоемкость, пористость почвы. </w:t>
      </w:r>
      <w:r w:rsidRPr="004A2914">
        <w:rPr>
          <w:color w:val="auto"/>
          <w:sz w:val="28"/>
          <w:szCs w:val="28"/>
        </w:rPr>
        <w:t>Насыщение почвы полезными веществами исключает необходимость использования минеральных удобрений, способствует получению экологически чистой продукции, улучшению микробиологической активности, оздоровлению загрязненной почвы</w:t>
      </w:r>
      <w:r w:rsidRPr="004A2914" w:rsidR="003F0E57">
        <w:rPr>
          <w:color w:val="auto"/>
          <w:sz w:val="28"/>
          <w:szCs w:val="28"/>
          <w:lang w:val="kk-KZ"/>
        </w:rPr>
        <w:t>.</w:t>
      </w:r>
    </w:p>
    <w:p w:rsidR="0001371D" w:rsidRPr="00D927A6" w:rsidP="00BE7E1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3D351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Сегодня все участники </w:t>
      </w:r>
      <w:r w:rsidRPr="008021B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процесса обращения с отходами: мусоровывозящие компании, компании, занимающиеся сортировкой отходов,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их </w:t>
      </w:r>
      <w:r w:rsidRPr="008021B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переработ</w:t>
      </w:r>
      <w:r w:rsidR="008A3BD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ой</w:t>
      </w:r>
      <w:r w:rsidRPr="008021B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эксплуатирующие </w:t>
      </w:r>
      <w:r w:rsidRPr="008021B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полигоны (а в 99% - это свалки, называемые полигонами), местный исполнительный орган </w:t>
      </w:r>
      <w:r w:rsidRPr="004A291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работают каждый «сам по себе»</w:t>
      </w:r>
      <w:r w:rsidRPr="008021B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 Взаимодействие между ними отсутствует, так как нет разработанных юридических механизмов, нет системы взаимодействия между ними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, отсутствует полноценный коммерческий (фактический) учет и контроль за обращением с отходами и их движением</w:t>
      </w:r>
      <w:r w:rsidRPr="008021B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. На местах не созданы условия для полноценной конкурентной среды для бизнеса. Нет четких правил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обращения с коммунальными отходами</w:t>
      </w:r>
      <w:r w:rsidRPr="008021B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на этом рынке. Однако, </w:t>
      </w:r>
      <w:r w:rsidRPr="004A291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тарифы за сбор,  вывоз и захоронение отходов собираются как с населения, так и с юридических лиц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, которым эти услуги оказываются</w:t>
      </w:r>
      <w:r w:rsidRPr="008021B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D927A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В то же время, коммерческий учет и контроль за движением отходов должен применяться для расчета тарифа на сбор, транспортировку, сортировку и захоронение твердых бытовых отходов. </w:t>
      </w:r>
    </w:p>
    <w:p w:rsidR="00D927A6" w:rsidP="00BE7E1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7A6">
        <w:rPr>
          <w:rFonts w:ascii="Times New Roman" w:hAnsi="Times New Roman" w:cs="Times New Roman"/>
          <w:sz w:val="28"/>
          <w:szCs w:val="28"/>
        </w:rPr>
        <w:t xml:space="preserve">По данным МЭГиПР в 2020 году доля переработки ТБО в Республике выросла до 18,6% по сравнению с 2,6% в 2016 году. В мировом плане, данный показатель является очень низким. И этому имеются свои объяснения. Предприниматели с небольшой охотой обращаются к рынку сортировки и переработки отходов - </w:t>
      </w:r>
      <w:r w:rsidRPr="004A2914">
        <w:rPr>
          <w:rFonts w:ascii="Times New Roman" w:hAnsi="Times New Roman" w:cs="Times New Roman"/>
          <w:sz w:val="28"/>
          <w:szCs w:val="28"/>
        </w:rPr>
        <w:t>данный бизнес признан нерентабельным</w:t>
      </w:r>
      <w:r w:rsidRPr="00D927A6">
        <w:rPr>
          <w:rFonts w:ascii="Times New Roman" w:hAnsi="Times New Roman" w:cs="Times New Roman"/>
          <w:sz w:val="28"/>
          <w:szCs w:val="28"/>
        </w:rPr>
        <w:t xml:space="preserve">. Во всем мире от 100% от тарифа 45−50% должны получать мусороперерабатывающие заводы, около 40% - мусоровывозящие компании, 10% - полигон. В Казахстане тарифообразование другое: 65% от тарифа зарабатывает мусоровывозящая организация, около 17% - мусороперерабатывающий завод, 18% - полигон. Кроме того, небольшие объемы отходов, значительные расстояния между населенными пунктами </w:t>
      </w:r>
      <w:r w:rsidRPr="003F0E57">
        <w:rPr>
          <w:rFonts w:ascii="Times New Roman" w:hAnsi="Times New Roman" w:cs="Times New Roman"/>
          <w:sz w:val="28"/>
          <w:szCs w:val="28"/>
          <w:u w:val="single"/>
        </w:rPr>
        <w:t>сильно увеличивают стоимость перерабатываемой продукции</w:t>
      </w:r>
      <w:r w:rsidRPr="00D927A6">
        <w:rPr>
          <w:rFonts w:ascii="Times New Roman" w:hAnsi="Times New Roman" w:cs="Times New Roman"/>
          <w:sz w:val="28"/>
          <w:szCs w:val="28"/>
        </w:rPr>
        <w:t xml:space="preserve">. Поэтому, учитывая сравнительно небольшие объемы образования отходов и расстояния между населенными пунктами, в Казахстане данная сфера </w:t>
      </w:r>
      <w:r w:rsidRPr="003F0E57">
        <w:rPr>
          <w:rFonts w:ascii="Times New Roman" w:hAnsi="Times New Roman" w:cs="Times New Roman"/>
          <w:sz w:val="28"/>
          <w:szCs w:val="28"/>
          <w:u w:val="single"/>
        </w:rPr>
        <w:t>может существовать только при наличии системного и комплексного подхода и поддержки бизнеса государством</w:t>
      </w:r>
      <w:r w:rsidRPr="00D927A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1371D" w:rsidP="00BE7E1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927A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Запрет Экологического кодекса Р</w:t>
      </w:r>
      <w:r w:rsidR="004A291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еспублики </w:t>
      </w:r>
      <w:r w:rsidRPr="00D927A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</w:t>
      </w:r>
      <w:r w:rsidR="004A291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азахстан</w:t>
      </w:r>
      <w:r w:rsidRPr="00D927A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(статья 351) на захоронение некоторых видов отходов не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подкреплен другими нормативными актами, касающихся создания соответствующей инфраструктуры и систем управления коммунальными отходами, включая организацию коммерческого учета отходов и контроля за их движением. </w:t>
      </w:r>
    </w:p>
    <w:p w:rsidR="0001371D" w:rsidP="00BE7E1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Разработанные МЭГиПР Правила управления коммунальными отходами не способствуют созданию полноценной системы управления ими, предлагая локальные и поэтому неэффективные решения. </w:t>
      </w:r>
    </w:p>
    <w:p w:rsidR="0001371D" w:rsidP="00BE7E1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Согласно статьи 365 ЭК РК организация разработки программ по управлению  </w:t>
      </w:r>
      <w:r w:rsidRPr="000D523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коммунальными отходами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отнесена к функциям МИО районов, городов районного и областного значения, городов республиканского значения, столицы. Однако, правил и разъяснений по разработке этой программы нет. Кроме того, такой локальный подход в успешной мировой практике показал свою несостоятельность. Решение проблем и создание </w:t>
      </w:r>
      <w:r w:rsidR="003F0E5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истемы должно идти от общего к частному: Программа разрабатывается на регион</w:t>
      </w:r>
      <w:r w:rsidR="00D927A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(область), а потом каждая </w:t>
      </w:r>
      <w:r w:rsidR="00D2522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административно-территориальная единица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на её основе разрабатывает свою программу, что позволяет рационально разместить объекты инфраструктуры для обращения с отходами, не выходя за пределы возможного тарифа.</w:t>
      </w:r>
    </w:p>
    <w:p w:rsidR="0001371D" w:rsidP="00BE7E1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Целесообразность такого подхода показало и разработанное Акиматом Алматинской области ТЭО создания региональной системы управления отходами потребления в области, в котором выявлены проблемы и обоснованы пути их решения на основе системных и комплексных подходов. Так, применив лучшую мировую практику в области управления и обращения с отходами потребления, вся территория области (740 населенных пунктов)  разделена на 14 территориальных комплексов. </w:t>
      </w:r>
      <w:r w:rsidRPr="00EC38D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Критерием для определения границ территориальных комплексов и размещения объектов инфраструктуры принят тариф на сбор и вывоз ТБО от населения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, который соответствует требованиям законодательства РК, в т.ч. в части его размера. Причем, обоснован поэтапный вывоз отходов до 2025 года для 100%-го охвата населения. Так, в ТЭО вместо существующих на территории области </w:t>
      </w:r>
      <w:r w:rsidR="004A291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354 свалок и 12 полигонов, которые не соответствуют требованиям природоохранного законодательства РК, обоснованы и размещены всего</w:t>
      </w:r>
      <w:r w:rsidR="004A291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16 современных полигонов, необходимые для обслуживания населенных пунктов области, но полностью соответствующие требованиям законодательства РК.  Данный подход не только обосновывает и делает прозрачным тариф для населения и юридических лиц, но и создает условия для привлечения в эту сферу экономики малого и среднего бизнеса. </w:t>
      </w:r>
    </w:p>
    <w:p w:rsidR="0001371D" w:rsidP="00BE7E1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Однако реализация ТЭО осталась под вопросом ввиду отсутствия необходимых юридических механизмов на всех уровнях государственного управления, а подписанный многосторонний Меморандум </w:t>
      </w:r>
      <w:r w:rsidR="0047716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от 12</w:t>
      </w:r>
      <w:r w:rsidR="00DE278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августа      </w:t>
      </w:r>
      <w:r w:rsidR="0047716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2017 года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, который предполагал определить Алматинскую область </w:t>
      </w:r>
      <w:r w:rsidR="004A291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пилот-проектом для создания модели системы управления отходами потребления, также остался «на бумаге». </w:t>
      </w:r>
    </w:p>
    <w:p w:rsidR="0001371D" w:rsidP="00BE7E1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Отсутствие Системы управления отходами приводит к образованию несанкционированных свалок. Так, в ТЭО Алматинской области затраты на ликвидацию несанкционированных свалок оценено в сумме около </w:t>
      </w:r>
      <w:r w:rsidRPr="004A291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14 млрд</w:t>
      </w:r>
      <w:r w:rsidRPr="004A2914" w:rsidR="004A291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  <w:r w:rsidRPr="00DE278E">
        <w:rPr>
          <w:rFonts w:ascii="Times New Roman" w:eastAsia="Times New Roman" w:hAnsi="Times New Roman" w:cs="Times New Roman"/>
          <w:sz w:val="28"/>
          <w:szCs w:val="28"/>
          <w:u w:val="single"/>
          <w:lang w:val="kk-KZ" w:eastAsia="ru-RU"/>
        </w:rPr>
        <w:t xml:space="preserve"> </w:t>
      </w:r>
      <w:r w:rsidRPr="004A291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тенге (в ценах 2017) года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 Н</w:t>
      </w:r>
      <w:r w:rsidRPr="00EC38D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 ликвидацию двух свалок в г.</w:t>
      </w:r>
      <w:r w:rsidR="00DE278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EC38D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Актобе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в</w:t>
      </w:r>
      <w:r w:rsidRPr="00EC38D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конце </w:t>
      </w:r>
      <w:r w:rsidR="00DE278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</w:t>
      </w:r>
      <w:r w:rsidRPr="00EC38D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2020 года был объявлен конкурс государственных закупок на </w:t>
      </w:r>
      <w:r w:rsidRPr="004A291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234 млн. тенге</w:t>
      </w:r>
      <w:r w:rsidRPr="00EC38D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. Для акимата – это </w:t>
      </w:r>
      <w:r w:rsidRPr="004A291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единовременные затраты из бюджета, которые не принесут прибыль, но улучшат экологию</w:t>
      </w:r>
      <w:r w:rsidRPr="00EC38D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(если будут соблюдены правила </w:t>
      </w:r>
      <w:r w:rsidRPr="00EC38D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рекультивации этих свалок).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Без учета и контроля за движением отходов потребления остановить процесс образования свалок будет невозможно. </w:t>
      </w:r>
      <w:r w:rsidRPr="00EC38D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4A291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Более эффективным использованием бюджетных средств было бы  направить их на создание Региональной системы управления отходами потребления области, создавая полноценную отрасль циркулярной экономики, которая будет приносить доход</w:t>
      </w:r>
      <w:r w:rsidRPr="00EC38D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</w:p>
    <w:p w:rsidR="0001371D" w:rsidP="00BE7E1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В целях системного и комплексного подхода к управлению коммунальными отходами и обращению с ними предлагаем:</w:t>
      </w:r>
    </w:p>
    <w:p w:rsidR="005C6AA4" w:rsidRPr="00401599" w:rsidP="00BE7E11">
      <w:pPr>
        <w:pStyle w:val="ListParagraph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</w:t>
      </w:r>
      <w:r w:rsidRPr="0040159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ринять комплексные меры по управлению промышленных отходов и отходов потребления, определить источники финансирования по реализации данных мер</w:t>
      </w:r>
      <w:r w:rsidRPr="00401599" w:rsidR="001C29C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, в том числе </w:t>
      </w:r>
      <w:r w:rsidRPr="00401599" w:rsidR="00D94B0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по разработке соответствующих нормативных правовых актов и Государственной программы, с учетом изложенных выше проблем;</w:t>
      </w:r>
    </w:p>
    <w:p w:rsidR="005C6AA4" w:rsidRPr="00401599" w:rsidP="00BE7E11">
      <w:pPr>
        <w:pStyle w:val="ListParagraph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</w:t>
      </w:r>
      <w:r w:rsidRPr="0040159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ровести анализ государственной отчетности по коммунальным отходам и разработать мероприятия по повышению её качества;</w:t>
      </w:r>
    </w:p>
    <w:p w:rsidR="0001371D" w:rsidRPr="000E233A" w:rsidP="004942F0">
      <w:pPr>
        <w:pStyle w:val="ListParagraph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0E233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р</w:t>
      </w:r>
      <w:r w:rsidRPr="000E233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ассмотреть вопрос и определить пилотным проектом для создания и дальнейшего развития Региональной системы обращения с коммунальными отходами Алматинскую область</w:t>
      </w:r>
      <w:r w:rsidRPr="000E233A" w:rsidR="000E233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,</w:t>
      </w:r>
      <w:r w:rsidR="000E233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0E233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</w:t>
      </w:r>
      <w:r w:rsidRPr="000E233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предели</w:t>
      </w:r>
      <w:r w:rsidR="000E233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в</w:t>
      </w:r>
      <w:r w:rsidRPr="000E233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способы финансирования реализации пилотного проекта и обеспечи</w:t>
      </w:r>
      <w:r w:rsidR="000E233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в</w:t>
      </w:r>
      <w:r w:rsidRPr="000E233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организационные мероприятия по его запуску, включая разработку необходимых документов, обеспечивающих реализацию </w:t>
      </w:r>
      <w:r w:rsidRPr="000E233A" w:rsidR="00D927A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пилотного проекта;</w:t>
      </w:r>
    </w:p>
    <w:p w:rsidR="0001371D" w:rsidRPr="005C6AA4" w:rsidP="00BE7E11">
      <w:pPr>
        <w:pStyle w:val="ListParagraph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</w:t>
      </w:r>
      <w:r w:rsidRPr="005C6AA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казать содействие в реализации предлагаемого Всемирным Банком проекта</w:t>
      </w:r>
      <w:r w:rsidRPr="005C6AA4" w:rsidR="003E69E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5C6AA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«Комплексная</w:t>
      </w:r>
      <w:r w:rsidRPr="005C6AA4" w:rsidR="003E69E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5C6AA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цифровая</w:t>
      </w:r>
      <w:r w:rsidRPr="005C6AA4" w:rsidR="003E69E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5C6AA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SMART-система</w:t>
      </w:r>
      <w:r w:rsidRPr="005C6AA4" w:rsidR="003E69E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5C6AA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управления</w:t>
      </w:r>
      <w:r w:rsidRPr="005C6AA4" w:rsidR="003E69E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5C6AA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коммунальными</w:t>
      </w:r>
      <w:r w:rsidRPr="005C6AA4" w:rsidR="003E69E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5C6AA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отходами</w:t>
      </w:r>
      <w:r w:rsidRPr="005C6AA4" w:rsidR="003E69E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5C6AA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Алматинской агломерации».</w:t>
      </w:r>
    </w:p>
    <w:p w:rsidR="0001371D" w:rsidRPr="0001371D" w:rsidP="00BE7E1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1371D">
        <w:rPr>
          <w:rFonts w:ascii="Times New Roman" w:hAnsi="Times New Roman" w:cs="Times New Roman"/>
          <w:sz w:val="28"/>
          <w:szCs w:val="28"/>
          <w:lang w:val="kk-KZ"/>
        </w:rPr>
        <w:t>В соответствии со статьей 27 Конституционного Закона Республики Казахстан «О Парламенте Республики Казахстан и статусе его депутатов» просим в установленный законодательством срок дать письменный ответ.</w:t>
      </w:r>
    </w:p>
    <w:p w:rsidR="00AF4FE5" w:rsidRPr="00BF1ACD" w:rsidP="00BE7E1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AF4FE5" w:rsidRPr="00BE46D0" w:rsidP="00BE7E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</w:p>
    <w:p w:rsidR="00AF4FE5" w:rsidRPr="00E8532F" w:rsidP="00BE7E1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С уважением</w:t>
      </w:r>
      <w:r w:rsidRPr="00E8532F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, </w:t>
      </w:r>
      <w:r w:rsidRPr="00E8532F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ab/>
      </w:r>
      <w:r w:rsidRPr="00E8532F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ab/>
      </w:r>
      <w:r w:rsidRPr="00E8532F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ab/>
      </w:r>
      <w:r w:rsidRPr="00E8532F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ab/>
      </w:r>
    </w:p>
    <w:p w:rsidR="00AF4FE5" w:rsidRPr="00E8532F" w:rsidP="00BE7E1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E8532F" w:rsidP="00BE7E11">
      <w:pPr>
        <w:widowControl w:val="0"/>
        <w:shd w:val="clear" w:color="auto" w:fill="FFFFFF"/>
        <w:autoSpaceDE w:val="0"/>
        <w:autoSpaceDN w:val="0"/>
        <w:adjustRightInd w:val="0"/>
        <w:spacing w:after="0" w:line="480" w:lineRule="auto"/>
        <w:ind w:right="284" w:firstLine="709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E8532F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                  </w:t>
      </w:r>
      <w:r w:rsidRPr="004F59D7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   </w:t>
      </w:r>
      <w:r w:rsidRPr="004F59D7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ab/>
      </w:r>
      <w:r w:rsidRPr="004F59D7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ab/>
      </w:r>
      <w:r w:rsidRPr="004F59D7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ab/>
      </w:r>
      <w:r w:rsidRPr="004F59D7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ab/>
      </w:r>
      <w:r w:rsidRPr="004F59D7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ab/>
        <w:t xml:space="preserve"> </w:t>
      </w:r>
      <w:r w:rsidRPr="00E8532F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    </w:t>
      </w:r>
      <w:r w:rsidRPr="00E8532F" w:rsidR="0033731D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C</w:t>
      </w:r>
      <w:r w:rsidRPr="00612521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М. </w:t>
      </w:r>
      <w:r w:rsidR="0033731D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Д</w:t>
      </w:r>
      <w:r w:rsidR="00BE7E11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Ю</w:t>
      </w:r>
      <w:r w:rsidR="0033731D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СЕМБИНО</w:t>
      </w:r>
      <w:r w:rsidRPr="00612521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В</w:t>
      </w:r>
    </w:p>
    <w:p w:rsidR="007412AF" w:rsidP="00BE7E11">
      <w:pPr>
        <w:widowControl w:val="0"/>
        <w:shd w:val="clear" w:color="auto" w:fill="FFFFFF"/>
        <w:autoSpaceDE w:val="0"/>
        <w:autoSpaceDN w:val="0"/>
        <w:adjustRightInd w:val="0"/>
        <w:spacing w:after="0" w:line="480" w:lineRule="auto"/>
        <w:ind w:right="284" w:firstLine="709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7412AF" w:rsidRPr="007412AF" w:rsidP="007412AF">
      <w:pPr>
        <w:widowControl w:val="0"/>
        <w:shd w:val="clear" w:color="auto" w:fill="FFFFFF"/>
        <w:autoSpaceDE w:val="0"/>
        <w:autoSpaceDN w:val="0"/>
        <w:adjustRightInd w:val="0"/>
        <w:spacing w:after="0" w:line="480" w:lineRule="auto"/>
        <w:ind w:right="284"/>
        <w:rPr>
          <w:rFonts w:ascii="Times New Roman" w:eastAsia="Times New Roman" w:hAnsi="Times New Roman" w:cs="Times New Roman"/>
          <w:color w:val="0C0000"/>
          <w:sz w:val="20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0C0000"/>
          <w:sz w:val="20"/>
          <w:szCs w:val="28"/>
          <w:lang w:val="kk-KZ" w:eastAsia="ru-RU"/>
        </w:rPr>
        <w:t>Результаты согласования</w:t>
      </w:r>
      <w:r>
        <w:rPr>
          <w:rFonts w:ascii="Times New Roman" w:eastAsia="Times New Roman" w:hAnsi="Times New Roman" w:cs="Times New Roman"/>
          <w:b/>
          <w:color w:val="0C0000"/>
          <w:sz w:val="20"/>
          <w:szCs w:val="28"/>
          <w:lang w:val="kk-KZ" w:eastAsia="ru-RU"/>
        </w:rPr>
        <w:br/>
      </w:r>
      <w:r>
        <w:rPr>
          <w:rFonts w:ascii="Times New Roman" w:eastAsia="Times New Roman" w:hAnsi="Times New Roman" w:cs="Times New Roman"/>
          <w:color w:val="0C0000"/>
          <w:sz w:val="20"/>
          <w:szCs w:val="28"/>
          <w:lang w:val="kk-KZ" w:eastAsia="ru-RU"/>
        </w:rPr>
        <w:t>21.04.2022 11:37:54: Данабеков О. К. (Руководство Аппарата Сената) - - cогласовано без замечаний</w:t>
      </w:r>
      <w:r>
        <w:rPr>
          <w:rFonts w:ascii="Times New Roman" w:eastAsia="Times New Roman" w:hAnsi="Times New Roman" w:cs="Times New Roman"/>
          <w:color w:val="0C0000"/>
          <w:sz w:val="20"/>
          <w:szCs w:val="28"/>
          <w:lang w:val="kk-KZ" w:eastAsia="ru-RU"/>
        </w:rPr>
        <w:br/>
        <w:t>21.04.2022 11:38:29: Дюсембинов С. М. (Комитет по аграрным вопросам, природопользованию и развитию сельских территорий) - - cогласовано без замечаний</w:t>
      </w:r>
      <w:r>
        <w:rPr>
          <w:rFonts w:ascii="Times New Roman" w:eastAsia="Times New Roman" w:hAnsi="Times New Roman" w:cs="Times New Roman"/>
          <w:color w:val="0C0000"/>
          <w:sz w:val="20"/>
          <w:szCs w:val="28"/>
          <w:lang w:val="kk-KZ" w:eastAsia="ru-RU"/>
        </w:rPr>
        <w:br/>
        <w:t>21.04.2022 11:39:46: Раймбеков К. У. (Отдел по взаимодействию с Комитетом по аграрным вопросам, природопользованию и развитию сельских территорий) - - cогласовано без замечаний</w:t>
      </w:r>
      <w:r>
        <w:rPr>
          <w:rFonts w:ascii="Times New Roman" w:eastAsia="Times New Roman" w:hAnsi="Times New Roman" w:cs="Times New Roman"/>
          <w:color w:val="0C0000"/>
          <w:sz w:val="20"/>
          <w:szCs w:val="28"/>
          <w:lang w:val="kk-KZ" w:eastAsia="ru-RU"/>
        </w:rPr>
        <w:br/>
      </w:r>
      <w:r>
        <w:rPr>
          <w:rFonts w:ascii="Times New Roman" w:eastAsia="Times New Roman" w:hAnsi="Times New Roman" w:cs="Times New Roman"/>
          <w:color w:val="0C0000"/>
          <w:sz w:val="20"/>
          <w:szCs w:val="28"/>
          <w:lang w:val="kk-KZ" w:eastAsia="ru-RU"/>
        </w:rPr>
        <w:t>21.04.2022 12:54:32: Агиса Б. А. (Общий отдел) - - cогласовано без замечаний</w:t>
      </w:r>
      <w:r>
        <w:rPr>
          <w:rFonts w:ascii="Times New Roman" w:eastAsia="Times New Roman" w:hAnsi="Times New Roman" w:cs="Times New Roman"/>
          <w:color w:val="0C0000"/>
          <w:sz w:val="20"/>
          <w:szCs w:val="28"/>
          <w:lang w:val="kk-KZ" w:eastAsia="ru-RU"/>
        </w:rPr>
        <w:br/>
      </w:r>
      <w:r>
        <w:rPr>
          <w:rFonts w:ascii="Times New Roman" w:eastAsia="Times New Roman" w:hAnsi="Times New Roman" w:cs="Times New Roman"/>
          <w:b/>
          <w:color w:val="0C0000"/>
          <w:sz w:val="20"/>
          <w:szCs w:val="28"/>
          <w:lang w:val="kk-KZ" w:eastAsia="ru-RU"/>
        </w:rPr>
        <w:t>Результат подписания</w:t>
      </w:r>
      <w:r>
        <w:rPr>
          <w:rFonts w:ascii="Times New Roman" w:eastAsia="Times New Roman" w:hAnsi="Times New Roman" w:cs="Times New Roman"/>
          <w:b/>
          <w:color w:val="0C0000"/>
          <w:sz w:val="20"/>
          <w:szCs w:val="28"/>
          <w:lang w:val="kk-KZ" w:eastAsia="ru-RU"/>
        </w:rPr>
        <w:br/>
      </w:r>
      <w:r>
        <w:rPr>
          <w:rFonts w:ascii="Times New Roman" w:eastAsia="Times New Roman" w:hAnsi="Times New Roman" w:cs="Times New Roman"/>
          <w:color w:val="0C0000"/>
          <w:sz w:val="20"/>
          <w:szCs w:val="28"/>
          <w:lang w:val="kk-KZ" w:eastAsia="ru-RU"/>
        </w:rPr>
        <w:t>21.04.2022 14:48:39 Ракишева А. Г.. Подписано</w:t>
      </w:r>
      <w:r>
        <w:rPr>
          <w:rFonts w:ascii="Times New Roman" w:eastAsia="Times New Roman" w:hAnsi="Times New Roman" w:cs="Times New Roman"/>
          <w:color w:val="0C0000"/>
          <w:sz w:val="20"/>
          <w:szCs w:val="28"/>
          <w:lang w:val="kk-KZ" w:eastAsia="ru-RU"/>
        </w:rPr>
        <w:br/>
      </w:r>
      <w:bookmarkStart w:id="0" w:name="_GoBack"/>
      <w:bookmarkEnd w:id="0"/>
    </w:p>
    <w:sectPr w:rsidSect="000E723D">
      <w:headerReference w:type="default" r:id="rId5"/>
      <w:footerReference w:type="default" r:id="rId6"/>
      <w:pgSz w:w="11906" w:h="16838"/>
      <w:pgMar w:top="1418" w:right="1134" w:bottom="141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412AF">
    <w:pPr>
      <w:pStyle w:val="Footer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6278880</wp:posOffset>
              </wp:positionH>
              <wp:positionV relativeFrom="paragraph">
                <wp:posOffset>-9001887</wp:posOffset>
              </wp:positionV>
              <wp:extent cx="381000" cy="8019098"/>
              <wp:effectExtent l="0" t="0" r="0" b="127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412AF" w:rsidRPr="007412AF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21.04.2022 ЕСЭДО ГО (версия 7.23.0)  ЭЦҚ-ны тексерудің нәтижесі оң.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2049" type="#_x0000_t202" style="height:631.45pt;margin-left:494.4pt;margin-top:-708.8pt;mso-wrap-distance-bottom:0;mso-wrap-distance-left:9pt;mso-wrap-distance-right:9pt;mso-wrap-distance-top:0;mso-wrap-style:square;position:absolute;v-text-anchor:top;visibility:visible;width:30pt;z-index:251659264" filled="f" stroked="f" strokeweight="0.5pt">
              <v:fill o:detectmouseclick="t"/>
              <v:textbox style="layout-flow:vertical;mso-layout-flow-alt:bottom-to-top">
                <w:txbxContent>
                  <w:p w:rsidR="007412AF" w:rsidRPr="007412AF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21.04.2022 ЕСЭДО ГО (версия 7.23.0)  ЭЦҚ-ны тексерудің нәтижесі оң. 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27251711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7321F" w:rsidRPr="00755216">
        <w:pPr>
          <w:pStyle w:val="Header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5521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5521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5521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412AF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75521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732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7BB3EA1"/>
    <w:multiLevelType w:val="hybridMultilevel"/>
    <w:tmpl w:val="5358EA8C"/>
    <w:lvl w:ilvl="0">
      <w:start w:val="0"/>
      <w:numFmt w:val="bullet"/>
      <w:lvlText w:val="-"/>
      <w:lvlJc w:val="left"/>
      <w:pPr>
        <w:ind w:left="1211" w:hanging="360"/>
      </w:pPr>
      <w:rPr>
        <w:rFonts w:ascii="Times New Roman" w:hAnsi="Times New Roman" w:eastAsiaTheme="minorHAnsi" w:cs="Times New Roman" w:hint="default"/>
      </w:rPr>
    </w:lvl>
    <w:lvl w:ilvl="1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11504CE3"/>
    <w:multiLevelType w:val="hybridMultilevel"/>
    <w:tmpl w:val="023E60E2"/>
    <w:lvl w:ilvl="0">
      <w:start w:val="1"/>
      <w:numFmt w:val="decimal"/>
      <w:lvlText w:val="%1)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7FE963AF"/>
    <w:multiLevelType w:val="hybridMultilevel"/>
    <w:tmpl w:val="86C0DB8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 w:cryptProviderType="rsaAES" w:cryptAlgorithmClass="hash" w:cryptAlgorithmType="typeAny" w:cryptAlgorithmSid="14" w:cryptSpinCount="100000" w:hash="hfhOowRUl+DE4Jg1DqNt3RtqlA6jINeeat7jgZ0f+K3ImuyljWQ8/4I2EMR0AhUHVZH4Vl3xRf9t&#10;yi7mN2nAvg==&#10;" w:salt="itxlBmNSGhHBxhAKfiF5Rg==&#10;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4F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uiPriority w:val="99"/>
    <w:unhideWhenUsed/>
    <w:rsid w:val="00AF4F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AF4FE5"/>
  </w:style>
  <w:style w:type="character" w:styleId="Strong">
    <w:name w:val="Strong"/>
    <w:basedOn w:val="DefaultParagraphFont"/>
    <w:uiPriority w:val="22"/>
    <w:qFormat/>
    <w:rsid w:val="00185EAB"/>
    <w:rPr>
      <w:b/>
      <w:bCs/>
    </w:rPr>
  </w:style>
  <w:style w:type="paragraph" w:styleId="BalloonText">
    <w:name w:val="Balloon Text"/>
    <w:basedOn w:val="Normal"/>
    <w:link w:val="a0"/>
    <w:uiPriority w:val="99"/>
    <w:semiHidden/>
    <w:unhideWhenUsed/>
    <w:rsid w:val="00BF1A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BF1ACD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a1"/>
    <w:uiPriority w:val="99"/>
    <w:unhideWhenUsed/>
    <w:rsid w:val="008732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87321F"/>
  </w:style>
  <w:style w:type="character" w:customStyle="1" w:styleId="a2">
    <w:name w:val="Абзац списка Знак"/>
    <w:link w:val="ListParagraph"/>
    <w:uiPriority w:val="34"/>
    <w:locked/>
    <w:rsid w:val="0033731D"/>
  </w:style>
  <w:style w:type="paragraph" w:styleId="ListParagraph">
    <w:name w:val="List Paragraph"/>
    <w:basedOn w:val="Normal"/>
    <w:link w:val="a2"/>
    <w:uiPriority w:val="34"/>
    <w:qFormat/>
    <w:rsid w:val="0033731D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5233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6664</TotalTime>
  <Pages>6</Pages>
  <Words>1817</Words>
  <Characters>10358</Characters>
  <Application>Microsoft Office Word</Application>
  <DocSecurity>8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Keiko</Company>
  <LinksUpToDate>false</LinksUpToDate>
  <CharactersWithSpaces>12151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ePRK.Storage</dc:creator>
  <cp:lastModifiedBy>ePRK.Storage</cp:lastModifiedBy>
  <cp:revision>37</cp:revision>
</cp:coreProperties>
</file>