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C47DB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C47DBA" w:rsidRPr="00C47DBA" w:rsidP="00C62BC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16-13-134Д/С   от: 03.06.2022</w:t>
            </w:r>
          </w:p>
        </w:tc>
      </w:tr>
    </w:tbl>
    <w:p w:rsidR="00FB3DB9" w:rsidP="00C62BC1">
      <w:r>
        <w:rPr>
          <w:noProof/>
          <w:lang w:eastAsia="ru-RU"/>
        </w:rPr>
        <w:drawing>
          <wp:inline distT="0" distB="0" distL="0" distR="0">
            <wp:extent cx="592455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88" cy="25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C8B" w:rsidP="00C62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B9" w:rsidP="00C62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B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 Республикасының</w:t>
      </w:r>
    </w:p>
    <w:p w:rsidR="00FB3DB9" w:rsidRPr="00FB3DB9" w:rsidP="00C62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Премьер</w:t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Министрі</w:t>
      </w:r>
    </w:p>
    <w:p w:rsidR="00FB3DB9" w:rsidP="00C62BC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B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СМАЙЫ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ЛОВҚА</w:t>
      </w:r>
    </w:p>
    <w:p w:rsidR="00FB3DB9" w:rsidRPr="00C62BC1" w:rsidP="00C6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C1" w:rsidRPr="00C62BC1" w:rsidP="00C6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B9" w:rsidRPr="00C06748" w:rsidP="00C6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Құрметті Әлихан Асханұлы!</w:t>
      </w:r>
    </w:p>
    <w:p w:rsidR="00FB3DB9" w:rsidP="00C6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B9" w:rsidRPr="00FB3DB9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DB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 Сенатының негізгі іс - шаралар жоспарына сәйкес ағымдағы жылдың мамыр айында Қаржы және бюджет комитетінің (бұдан әрі-Комитет) мүшелері өңірлердің әлеуметтік-экономикалық дамуындағы теңгерімсіздікті төмендету мақсатында бюджетаралық қатынастарды жетілдіру мәселелері бойынша Жамбыл облысына барды.</w:t>
      </w:r>
    </w:p>
    <w:p w:rsidR="00FB3DB9" w:rsidRPr="00FB3DB9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DB9">
        <w:rPr>
          <w:rFonts w:ascii="Times New Roman" w:hAnsi="Times New Roman" w:cs="Times New Roman"/>
          <w:sz w:val="28"/>
          <w:szCs w:val="28"/>
          <w:lang w:val="kk-KZ"/>
        </w:rPr>
        <w:t>Аталған іс-шара шеңберінде бюджетаралық қатынастар жүйесін жақсартуға, жекелеген бағыттарды қаржыландыруға, бюджетаралық операцияларды оңтайландыруға және т. б. байланысты мәселелер бойынша ауылдық округтерге шығулар болды.</w:t>
      </w:r>
    </w:p>
    <w:p w:rsidR="00FB3DB9" w:rsidRPr="00FB3DB9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2A49">
        <w:rPr>
          <w:rFonts w:ascii="Times New Roman" w:hAnsi="Times New Roman" w:cs="Times New Roman"/>
          <w:sz w:val="28"/>
          <w:szCs w:val="28"/>
          <w:lang w:val="kk-KZ"/>
        </w:rPr>
        <w:t>Сондай-ақ, 4-деңгейдегі бюджеттің салық салынатын базасын кеңейту мәселесі аясында, ауылдық округтердегі кәсіпкерлік объектілеріне  шығып,  «Өңірлерді дамыту бағдарламасы» және «Жамбыл облысы халқының табысын арттыру» пилоттық жобасы шеңберінде іске асыр</w:t>
      </w:r>
      <w:r w:rsidR="00C62BC1">
        <w:rPr>
          <w:rFonts w:ascii="Times New Roman" w:hAnsi="Times New Roman" w:cs="Times New Roman"/>
          <w:sz w:val="28"/>
          <w:szCs w:val="28"/>
          <w:lang w:val="kk-KZ"/>
        </w:rPr>
        <w:t xml:space="preserve">ылған объектілердің мәселелері </w:t>
      </w:r>
      <w:r w:rsidRPr="00262A49">
        <w:rPr>
          <w:rFonts w:ascii="Times New Roman" w:hAnsi="Times New Roman" w:cs="Times New Roman"/>
          <w:sz w:val="28"/>
          <w:szCs w:val="28"/>
          <w:lang w:val="kk-KZ"/>
        </w:rPr>
        <w:t>қаралды.</w:t>
      </w:r>
    </w:p>
    <w:p w:rsidR="00CA1E15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1E15">
        <w:rPr>
          <w:rFonts w:ascii="Times New Roman" w:hAnsi="Times New Roman" w:cs="Times New Roman"/>
          <w:sz w:val="28"/>
          <w:szCs w:val="28"/>
          <w:lang w:val="kk-KZ"/>
        </w:rPr>
        <w:t>Аталған сапарлардың қорытындысы бойынша</w:t>
      </w:r>
      <w:r w:rsidR="00FF344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A1E15">
        <w:rPr>
          <w:rFonts w:ascii="Times New Roman" w:hAnsi="Times New Roman" w:cs="Times New Roman"/>
          <w:sz w:val="28"/>
          <w:szCs w:val="28"/>
          <w:lang w:val="kk-KZ"/>
        </w:rPr>
        <w:t xml:space="preserve"> шешімі өңірдің қаржылық дербестігін кеңейтуге, экономиканың дамуын ынталандыруға және жергілікті бюджеттің кірістерін ұлғайтуға мүмкіндік беретін проблемалық мәселелерді талқылау үшін </w:t>
      </w:r>
      <w:r w:rsidRPr="00CA1E15" w:rsidR="00FF3443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органдармен, мемл</w:t>
      </w:r>
      <w:r w:rsidR="00FF3443"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 және</w:t>
      </w:r>
      <w:r w:rsidRPr="00CA1E15" w:rsidR="00FF34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E15">
        <w:rPr>
          <w:rFonts w:ascii="Times New Roman" w:hAnsi="Times New Roman" w:cs="Times New Roman"/>
          <w:sz w:val="28"/>
          <w:szCs w:val="28"/>
          <w:lang w:val="kk-KZ"/>
        </w:rPr>
        <w:t>Ұлттық экономика министрлігі өкілдерінің қатысуымен кездесу өткізілді.</w:t>
      </w:r>
    </w:p>
    <w:p w:rsidR="00717DE3" w:rsidRPr="00717DE3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sz w:val="28"/>
          <w:szCs w:val="28"/>
          <w:lang w:val="kk-KZ"/>
        </w:rPr>
        <w:t>Осы кездесу барысында қатысушылар заңнамалық қамтамасыз етуді, сондай-ақ қолданыстағы заңнамалық актілерге түзетулер енгізуді талап ететін көптеген мәселелерді көтерді, оның ішінде:</w:t>
      </w:r>
    </w:p>
    <w:p w:rsidR="00717DE3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Бірінші.</w:t>
      </w:r>
      <w:r w:rsidRPr="00717DE3">
        <w:rPr>
          <w:rFonts w:ascii="Times New Roman" w:hAnsi="Times New Roman" w:cs="Times New Roman"/>
          <w:sz w:val="28"/>
          <w:szCs w:val="28"/>
          <w:lang w:val="kk-KZ"/>
        </w:rPr>
        <w:t xml:space="preserve"> Әдіснамалық тәсілдер бойынша:</w:t>
      </w:r>
    </w:p>
    <w:p w:rsidR="00717DE3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sz w:val="28"/>
          <w:szCs w:val="28"/>
          <w:lang w:val="kk-KZ"/>
        </w:rPr>
        <w:t>облигациялық қарыздар бойынша пайыздық мөлшерлемені өтеу мүмкіндігін қарастыру (пайыздық мөлшерлеме 0,35% - дан 4,25% - ға дейін өсті);</w:t>
      </w:r>
    </w:p>
    <w:p w:rsidR="00717DE3" w:rsidRPr="00717DE3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республикалық бюджеттік бағдарламалардың әкімшілері республикалық бюджетті жоспарлау және нақтылау кезінде күтпеген шығындарға жатпайтын іс-шараларға</w:t>
      </w:r>
      <w:r w:rsidR="008D120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717D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Үкімет резервінен ақша бөлу практикасын алып тастау мақсатында жергілікті бюджеттердің шығыстарын ұлғайтуға әкеп соғатын</w:t>
      </w:r>
      <w:r w:rsidR="008D1206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717DE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НҚА қабылдауға байланысты шығыстарды нысаналы трансферттерде ескерсін;</w:t>
      </w:r>
    </w:p>
    <w:p w:rsidR="00717DE3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sz w:val="28"/>
          <w:szCs w:val="28"/>
          <w:lang w:val="kk-KZ"/>
        </w:rPr>
        <w:t>2017-2019, 2020-2022 жылдарға арналған жалпы сипаттағы трансферттерді талдау жүргізу жолымен 2023-2025 жылдарға арналған жалпы сипаттағы трансферттерді есептеу кезінде ескерілмеген шығындар ескерілсін;</w:t>
      </w:r>
    </w:p>
    <w:p w:rsidR="00717DE3" w:rsidRPr="00912CAB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субвенциялар мониторингі тетігінің күшін жою жөніндегі мәселені </w:t>
      </w:r>
      <w:r w:rsidR="008D1206">
        <w:rPr>
          <w:rFonts w:ascii="Times New Roman" w:hAnsi="Times New Roman" w:cs="Times New Roman"/>
          <w:sz w:val="28"/>
          <w:szCs w:val="28"/>
          <w:lang w:val="kk-KZ"/>
        </w:rPr>
        <w:t>қарастыру</w:t>
      </w:r>
      <w:r w:rsidRPr="00717DE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17DE3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sz w:val="28"/>
          <w:szCs w:val="28"/>
          <w:lang w:val="kk-KZ"/>
        </w:rPr>
        <w:t>2021 жылғы 1 қаңтардан бастап білім беру саласы бойынша шығыстарды ауданнан облыстық деңгейге</w:t>
      </w:r>
      <w:r w:rsidR="00C863C1">
        <w:rPr>
          <w:rFonts w:ascii="Times New Roman" w:hAnsi="Times New Roman" w:cs="Times New Roman"/>
          <w:sz w:val="28"/>
          <w:szCs w:val="28"/>
          <w:lang w:val="kk-KZ"/>
        </w:rPr>
        <w:t xml:space="preserve"> берудің орындылығын қарастыру</w:t>
      </w:r>
      <w:r w:rsidRPr="00717DE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17DE3" w:rsidRPr="00717DE3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7DE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облыстық бюджеттерді бекіту процесін жеңілдету мақсатында ҚР Әділет министрлігінің Өңірлік департаменттері арқылы келісу және тіркеуге жіберу рәсімдерін қысқарту мүмкіндігін қарастыру;</w:t>
      </w:r>
    </w:p>
    <w:p w:rsidR="00C91FC1" w:rsidRPr="00C91FC1" w:rsidP="00C863A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FC1">
        <w:rPr>
          <w:rFonts w:ascii="Times New Roman" w:hAnsi="Times New Roman" w:cs="Times New Roman"/>
          <w:sz w:val="28"/>
          <w:szCs w:val="28"/>
          <w:lang w:val="kk-KZ"/>
        </w:rPr>
        <w:t>Екінші. 4-деңгейдегі бюджет кірістерінің меншікті көздерін кеңейту бойынша:</w:t>
      </w:r>
    </w:p>
    <w:p w:rsidR="00C91FC1" w:rsidRPr="00631564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FC1">
        <w:rPr>
          <w:rFonts w:ascii="Times New Roman" w:hAnsi="Times New Roman" w:cs="Times New Roman"/>
          <w:sz w:val="28"/>
          <w:szCs w:val="28"/>
          <w:lang w:val="kk-KZ"/>
        </w:rPr>
        <w:t>бюджетке 70 пайызды бөлу нормативі бойынша: өндірістермен қоршаған ортаны ластағаны үшін төлемдерді, жер қойнауын пайдаланушылардың өңірдің әлеуметтік-экономикалық дамуына және оның инфрақұрылымын дамытуға аударымдарын, қоршаған ортаны ластағаны үшін айыппұлдар түсімдерін беру</w:t>
      </w:r>
      <w:r w:rsidR="00C863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1FC1" w:rsidRPr="00631564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FC1">
        <w:rPr>
          <w:rFonts w:ascii="Times New Roman" w:hAnsi="Times New Roman" w:cs="Times New Roman"/>
          <w:sz w:val="28"/>
          <w:szCs w:val="28"/>
          <w:lang w:val="kk-KZ"/>
        </w:rPr>
        <w:t>ауылдық округтің учаскелік полицейлері салатын айыппұлды ауылдық округтің бюджетіне беру;</w:t>
      </w:r>
    </w:p>
    <w:p w:rsidR="00C91FC1" w:rsidRPr="00631564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FC1">
        <w:rPr>
          <w:rFonts w:ascii="Times New Roman" w:hAnsi="Times New Roman" w:cs="Times New Roman"/>
          <w:sz w:val="28"/>
          <w:szCs w:val="28"/>
          <w:lang w:val="kk-KZ"/>
        </w:rPr>
        <w:t>алыс шетелден (Ресей, Армения, Грузия, Қырғызстан) келген автокөлік құралдарына ҚР толық ресімделгенге дейін сол жерде уақытша тіркеумен салық салу мүмкіндігін қарастыру;</w:t>
      </w:r>
    </w:p>
    <w:p w:rsidR="00C91FC1" w:rsidRPr="00C91FC1" w:rsidP="00C863A9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сатып алу туралы» </w:t>
      </w:r>
      <w:r w:rsidRPr="00C91FC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Заңының 41-бабына өзгерістер енгізе отырып, аудандық маңызы бар қалалар, ауылдар, кенттер, ауылдық округтер әкімдері аппараттарының мемлекеттік сатып алу тәртібін оңайлату мүмкіндігін қарастырсын.</w:t>
      </w:r>
    </w:p>
    <w:p w:rsidR="00C91FC1" w:rsidRPr="00631564" w:rsidP="00C863A9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FC1">
        <w:rPr>
          <w:rFonts w:ascii="Times New Roman" w:hAnsi="Times New Roman" w:cs="Times New Roman"/>
          <w:sz w:val="28"/>
          <w:szCs w:val="28"/>
          <w:lang w:val="kk-KZ"/>
        </w:rPr>
        <w:t>Осылайша, жоғарыда айтылғандарды ескере отырып, қабылданған шараларға, оның ішінде жалпы сипаттағы трансферттерді есептеу әдістемесін өзгертуге қарамастан, бюджетаралық қатынастарды одан әрі жетілдіруді талап ететін белгілі бір кемшіліктер әлі де жалғасуда.</w:t>
      </w:r>
    </w:p>
    <w:p w:rsidR="00C91FC1" w:rsidRPr="00C91FC1" w:rsidP="00C863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1FC1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байланысты, құрметті Әлихан Асханұлы, </w:t>
      </w:r>
      <w:r w:rsidRPr="00C91FC1" w:rsidR="00C863C1">
        <w:rPr>
          <w:rFonts w:ascii="Times New Roman" w:hAnsi="Times New Roman" w:cs="Times New Roman"/>
          <w:sz w:val="28"/>
          <w:szCs w:val="28"/>
          <w:lang w:val="kk-KZ"/>
        </w:rPr>
        <w:t xml:space="preserve">жүргізіліп жатқан </w:t>
      </w:r>
      <w:r w:rsidRPr="00C91FC1">
        <w:rPr>
          <w:rFonts w:ascii="Times New Roman" w:hAnsi="Times New Roman" w:cs="Times New Roman"/>
          <w:sz w:val="28"/>
          <w:szCs w:val="28"/>
          <w:lang w:val="kk-KZ"/>
        </w:rPr>
        <w:t>бюджетаралық қатынастарды реформалау шеңберінде, сондай – ақ алдағы 2023-2025 жылдарға арналған жалпы сипаттағы трансферттерді қалыптастыруды ескере отырып, жоғарыда көрсет</w:t>
      </w:r>
      <w:r w:rsidR="00C863C1">
        <w:rPr>
          <w:rFonts w:ascii="Times New Roman" w:hAnsi="Times New Roman" w:cs="Times New Roman"/>
          <w:sz w:val="28"/>
          <w:szCs w:val="28"/>
          <w:lang w:val="kk-KZ"/>
        </w:rPr>
        <w:t>ілген ұсыныстарды қарауды және «</w:t>
      </w:r>
      <w:r w:rsidRPr="00C91FC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Парламенті және оның депутаттарының мәртебес</w:t>
      </w:r>
      <w:r w:rsidR="00C863C1">
        <w:rPr>
          <w:rFonts w:ascii="Times New Roman" w:hAnsi="Times New Roman" w:cs="Times New Roman"/>
          <w:sz w:val="28"/>
          <w:szCs w:val="28"/>
          <w:lang w:val="kk-KZ"/>
        </w:rPr>
        <w:t>і туралы»</w:t>
      </w:r>
      <w:r w:rsidRPr="00C91FC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27-бабына сәйкес </w:t>
      </w:r>
      <w:r w:rsidRPr="0012462C" w:rsidR="0012462C">
        <w:rPr>
          <w:rFonts w:ascii="Times New Roman" w:hAnsi="Times New Roman" w:cs="Times New Roman"/>
          <w:sz w:val="28"/>
          <w:szCs w:val="28"/>
          <w:lang w:val="kk-KZ"/>
        </w:rPr>
        <w:t>осы депутаттық сауалды заңда белгіленген мерзімде қарау жөнінде жазбаша жауап беру</w:t>
      </w:r>
      <w:r w:rsidR="0012462C">
        <w:rPr>
          <w:rFonts w:ascii="Times New Roman" w:hAnsi="Times New Roman" w:cs="Times New Roman"/>
          <w:sz w:val="28"/>
          <w:szCs w:val="28"/>
          <w:lang w:val="kk-KZ"/>
        </w:rPr>
        <w:t>ді сұраймыз</w:t>
      </w:r>
      <w:r w:rsidRPr="00C91F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DB9" w:rsidP="00C6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3DB9" w:rsidRPr="00BE46D0" w:rsidP="00C62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B3DB9" w:rsidRPr="00C62BC1" w:rsidP="00C62B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BC1">
        <w:rPr>
          <w:rFonts w:ascii="Times New Roman" w:hAnsi="Times New Roman" w:cs="Times New Roman"/>
          <w:i/>
          <w:color w:val="000000"/>
          <w:sz w:val="28"/>
          <w:szCs w:val="28"/>
        </w:rPr>
        <w:t>Құрметпен</w:t>
      </w:r>
      <w:r w:rsidRPr="00C62BC1" w:rsidR="00C91FC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C62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62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62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62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B3DB9" w:rsidRPr="004F59D7" w:rsidP="00C62B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F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  <w:t xml:space="preserve">   </w:t>
      </w:r>
      <w:r w:rsidR="00C91F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 ТРҰ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МОВ</w:t>
      </w:r>
    </w:p>
    <w:p w:rsid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C91F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С. МӘ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КЕЖАНОВ</w:t>
      </w:r>
    </w:p>
    <w:p w:rsid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Н. БЕКЕНОВ</w:t>
      </w:r>
    </w:p>
    <w:p w:rsidR="00C62BC1" w:rsidRP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  <w:r w:rsidRPr="00C62BC1" w:rsidR="00C91F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Ғ. ДҮ</w:t>
      </w: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ЙСЕМБАЕВ</w:t>
      </w:r>
    </w:p>
    <w:p w:rsidR="00C62BC1" w:rsidRP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С. КАРПЛЮК</w:t>
      </w:r>
    </w:p>
    <w:p w:rsidR="00C62BC1" w:rsidRP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</w:t>
      </w:r>
      <w:r w:rsidRPr="00C62BC1" w:rsidR="00C91F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Ж. НҰРҒ</w:t>
      </w: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АЛИЕВ</w:t>
      </w:r>
    </w:p>
    <w:p w:rsidR="00C62BC1" w:rsidRP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Б. ОРЫНБЕКОВ</w:t>
      </w:r>
    </w:p>
    <w:p w:rsidR="00C62BC1" w:rsidRPr="00C62BC1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B3DB9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62B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Б. ШЕЛПЕКОВ</w:t>
      </w:r>
    </w:p>
    <w:p w:rsidR="00FB6D27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FB6D27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Д. МУСИН</w:t>
      </w:r>
    </w:p>
    <w:p w:rsidR="00C47DBA" w:rsidP="00C62B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47DBA" w:rsidRPr="00C47DBA" w:rsidP="00C47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02.06.2022 14:34:41: Карплюк С.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14:35:11: Дюсембаев Г. И.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14:35:13: Орынбеков Б. С.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14:35:55: Макежанов С.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14:37:24: Трумов С. У.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14:39:09: Чельпеков Б.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14:40:08: Бекенов Н. Ж.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14:43:56: Нургалиев Ж. М.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14:49:56: Мусин Д.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16:38:45: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17:35:58: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17:40:08: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02.06.2022 17:49:28: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02.06.2022 17:51:22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6D280C">
      <w:headerReference w:type="default" r:id="rId5"/>
      <w:footerReference w:type="default" r:id="rId6"/>
      <w:pgSz w:w="11906" w:h="16838"/>
      <w:pgMar w:top="1418" w:right="1133" w:bottom="127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47DB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BA" w:rsidRPr="00C47DB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03.06.2022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C47DBA" w:rsidRPr="00C47DB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03.06.2022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09073052"/>
      <w:docPartObj>
        <w:docPartGallery w:val="Page Numbers (Top of Page)"/>
        <w:docPartUnique/>
      </w:docPartObj>
    </w:sdtPr>
    <w:sdtContent>
      <w:p w:rsidR="00C863A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BA">
          <w:rPr>
            <w:noProof/>
          </w:rPr>
          <w:t>3</w:t>
        </w:r>
        <w:r>
          <w:fldChar w:fldCharType="end"/>
        </w:r>
      </w:p>
    </w:sdtContent>
  </w:sdt>
  <w:p w:rsidR="00886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B6B0E37"/>
    <w:multiLevelType w:val="hybridMultilevel"/>
    <w:tmpl w:val="4FAE43AC"/>
    <w:lvl w:ilvl="0">
      <w:start w:val="20"/>
      <w:numFmt w:val="bullet"/>
      <w:lvlText w:val="-"/>
      <w:lvlJc w:val="left"/>
      <w:pPr>
        <w:ind w:left="1069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rSUScjmGjQoIaHelNaL2FnaPZM5tytgMn+ViDGux7ovdoDmMaTt35yG883JNoF4YzgtfWAl+9e7&#10;pBDC5AQueQ==&#10;" w:salt="6M3DnNWT5F473pAYcdt6a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B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B3DB9"/>
  </w:style>
  <w:style w:type="paragraph" w:styleId="ListParagraph">
    <w:name w:val="List Paragraph"/>
    <w:basedOn w:val="Normal"/>
    <w:uiPriority w:val="34"/>
    <w:qFormat/>
    <w:rsid w:val="00FB3DB9"/>
    <w:pPr>
      <w:ind w:left="720"/>
      <w:contextualSpacing/>
    </w:pPr>
  </w:style>
  <w:style w:type="paragraph" w:styleId="Footer">
    <w:name w:val="footer"/>
    <w:basedOn w:val="Normal"/>
    <w:link w:val="a0"/>
    <w:uiPriority w:val="99"/>
    <w:unhideWhenUsed/>
    <w:rsid w:val="00331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3149C"/>
  </w:style>
  <w:style w:type="paragraph" w:styleId="BalloonText">
    <w:name w:val="Balloon Text"/>
    <w:basedOn w:val="Normal"/>
    <w:link w:val="a1"/>
    <w:uiPriority w:val="99"/>
    <w:semiHidden/>
    <w:unhideWhenUsed/>
    <w:rsid w:val="006D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D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962</Words>
  <Characters>5484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15</cp:revision>
</cp:coreProperties>
</file>