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637"/>
      </w:tblGrid>
      <w:tr w:rsidTr="005C79DB">
        <w:tblPrEx>
          <w:tblW w:w="0" w:type="auto"/>
          <w:tblLayout w:type="fixed"/>
          <w:tblLook w:val="0000"/>
        </w:tblPrEx>
        <w:tc>
          <w:tcPr>
            <w:tcW w:w="9637" w:type="dxa"/>
            <w:shd w:val="clear" w:color="auto" w:fill="auto"/>
          </w:tcPr>
          <w:p w:rsidR="005C79DB" w:rsidP="005C79DB">
            <w:pPr>
              <w:tabs>
                <w:tab w:val="left" w:pos="8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17-09/7383 дз   от: 28.12.2021</w:t>
            </w:r>
          </w:p>
          <w:p w:rsidR="005C79DB" w:rsidRPr="005C79DB" w:rsidP="005C79DB">
            <w:pPr>
              <w:tabs>
                <w:tab w:val="left" w:pos="8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вх.4759//17-09/7383дз  от: 28.12.2021</w:t>
            </w:r>
          </w:p>
        </w:tc>
      </w:tr>
    </w:tbl>
    <w:p w:rsidR="008A10AA" w:rsidRPr="008A10AA" w:rsidP="005C79DB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10AA" w:rsidRPr="008A10AA" w:rsidP="008A10AA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10AA" w:rsidRPr="008A10AA" w:rsidP="008A10AA">
      <w:pPr>
        <w:tabs>
          <w:tab w:val="left" w:pos="8220"/>
        </w:tabs>
        <w:spacing w:after="0" w:line="240" w:lineRule="auto"/>
        <w:ind w:left="6095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Парламенті Сенатының</w:t>
      </w:r>
    </w:p>
    <w:p w:rsidR="008A10AA" w:rsidRPr="008A10AA" w:rsidP="008A10AA">
      <w:pPr>
        <w:tabs>
          <w:tab w:val="left" w:pos="8220"/>
        </w:tabs>
        <w:spacing w:after="0" w:line="240" w:lineRule="auto"/>
        <w:ind w:left="6095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депутаттары</w:t>
      </w:r>
    </w:p>
    <w:p w:rsidR="008A10AA" w:rsidRPr="008A10AA" w:rsidP="008A10AA">
      <w:pPr>
        <w:tabs>
          <w:tab w:val="left" w:pos="8220"/>
        </w:tabs>
        <w:spacing w:after="0" w:line="240" w:lineRule="auto"/>
        <w:ind w:left="6095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Р. Әбдікеровке,</w:t>
      </w:r>
    </w:p>
    <w:p w:rsidR="008A10AA" w:rsidRPr="008A10AA" w:rsidP="008A10AA">
      <w:pPr>
        <w:tabs>
          <w:tab w:val="left" w:pos="8220"/>
        </w:tabs>
        <w:spacing w:after="0" w:line="240" w:lineRule="auto"/>
        <w:ind w:left="609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С. Ершовқа</w:t>
      </w: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:rsidR="008A10AA" w:rsidRPr="008A10AA" w:rsidP="008A10AA">
      <w:pPr>
        <w:tabs>
          <w:tab w:val="left" w:pos="8220"/>
        </w:tabs>
        <w:spacing w:after="0" w:line="240" w:lineRule="auto"/>
        <w:ind w:left="5664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10AA" w:rsidRPr="008A10AA" w:rsidP="008A10AA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A10AA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2021 жылғы 3 желтоқсандағы № 16-13-44 д/с </w:t>
      </w:r>
    </w:p>
    <w:p w:rsidR="008A10AA" w:rsidRPr="008A10AA" w:rsidP="008A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10AA" w:rsidRPr="008A10AA" w:rsidP="008A10AA">
      <w:pPr>
        <w:tabs>
          <w:tab w:val="left" w:pos="8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10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депутаттар!</w:t>
      </w:r>
    </w:p>
    <w:p w:rsidR="008A10AA" w:rsidRPr="008A10AA" w:rsidP="008A10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24689" w:rsidRPr="00324689" w:rsidP="00324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689">
        <w:rPr>
          <w:rFonts w:ascii="Times New Roman" w:eastAsia="Calibri" w:hAnsi="Times New Roman" w:cs="Times New Roman"/>
          <w:sz w:val="28"/>
          <w:szCs w:val="28"/>
          <w:lang w:val="kk-KZ"/>
        </w:rPr>
        <w:t>Балқаш көлінің жай-күйі жөніндегі мәселелерге</w:t>
      </w:r>
      <w:r w:rsidRPr="00324689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 қатысты депутаттық </w:t>
      </w:r>
      <w:r w:rsidRPr="00324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сауалыңызды қарап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мынаны</w:t>
      </w:r>
      <w:r w:rsidRPr="003246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хабарлаймын.</w:t>
      </w:r>
    </w:p>
    <w:p w:rsidR="00324689" w:rsidRPr="00324689" w:rsidP="00324689">
      <w:pPr>
        <w:spacing w:after="200" w:line="276" w:lineRule="auto"/>
        <w:ind w:firstLine="7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324689">
        <w:rPr>
          <w:rFonts w:ascii="Times New Roman" w:eastAsia="Calibri" w:hAnsi="Times New Roman" w:cs="Times New Roman"/>
          <w:i/>
          <w:sz w:val="28"/>
          <w:szCs w:val="28"/>
          <w:lang w:val="kk-KZ"/>
        </w:rPr>
        <w:t>Іле өзенін ұтымды пайдалануға қатысты Келісімді еліміздің мүддесіне сай келетіндей етіп одан әрі пысықтау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ға қатысты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ытай Халық 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еспубликасы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арасындағы трансшекаралық өзендерді бірлесіп пайдалану және қорғау саласындағы қарым-қатынастар Қазақстан Республикасының Үкіметі және Қытай Халық Республикасының Үкіметі арасындағы трансшекаралық өзендерді пайдалану және қорғау саласындағы ынтымақтастық туралы келісімімен (</w:t>
      </w:r>
      <w:r w:rsidRPr="00324689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2001 жылғы </w:t>
      </w:r>
      <w:r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br/>
      </w:r>
      <w:r w:rsidRPr="00324689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>12 қыркүйекте Астана қаласында қол қойылған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32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реттеледі.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Сонымен қатар,</w:t>
      </w:r>
      <w:r w:rsidRPr="00324689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Трансшекаралық өзендерді пайдалану және қорғау саласындағы өзара іс-қимылдың басты механизмі 2003 жылы құрылған Қазақстан-Қытай Трансшекаралық өзендерді пайдалану және қорғау жөніндегі Бірлескен комиссиясы (бұдан әрі – </w:t>
      </w:r>
      <w:r w:rsidRPr="00324689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>Бірлескен комиссия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болып табылады.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Анықтама үшін:</w:t>
      </w:r>
      <w:r w:rsidRPr="0032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 2003-2021 ж</w:t>
      </w:r>
      <w:r w:rsidR="002B76E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ылдар</w:t>
      </w:r>
      <w:r w:rsidRPr="0032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аралығында Бірлескен комиссияның 18 отырысы өтті.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Қазіргі уақытта, Бірлескен комиссияның шеңберінде 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</w:t>
      </w:r>
      <w:r w:rsidRPr="00324689"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ытай Халық </w:t>
      </w:r>
      <w:r w:rsidRPr="00324689"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еспубликасы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арасындағы трансшекаралық өзендердің суын бөлу туралы келісім жобасын (бұдан әрі – Жоба) пысықталуда. Жоба 31 баптан тұрады. Арнайы жұмыс тобының шеңберінде белсенді келіссөздер жалғасуда.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2021 жылғы 26 қарашада бейнеконференция форматында өткен 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мен </w:t>
      </w:r>
      <w:r w:rsidRPr="00324689"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ытай Халық </w:t>
      </w:r>
      <w:r w:rsidRPr="00324689"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2B76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еспубликасы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ынтымақтастығы жөніндегі 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Комитеттің 10-шы отырысы шеңберінде трансшекаралық өзендерді пайдалану және қорғау саласындағы ынтымақтастықты нығайту туралы уағдаластыққа қол жеткізді. </w:t>
      </w: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ретте, тараптар Бірлескен комиссия механизмі шеңберінде су ресурстарына деген құқықты, даму мүдделерін және экожүйелерді сақтауды кешенді түрде ескере отырып, Жобаны келісу жұмыстарын белсендету туралы ортақ шешімге келді.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</w:pPr>
      <w:r w:rsidRPr="003246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>Балқаш көлін келеше</w:t>
      </w:r>
      <w:r w:rsidR="002B76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>гі</w:t>
      </w:r>
      <w:r w:rsidRPr="003246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 xml:space="preserve"> үшін сақтау бойынша нақтыланған арнайы жоспар әзірлеп, </w:t>
      </w:r>
      <w:r w:rsidRPr="00324689">
        <w:rPr>
          <w:rFonts w:ascii="Times New Roman" w:eastAsia="Times New Roman" w:hAnsi="Times New Roman" w:cs="Times New Roman"/>
          <w:i/>
          <w:sz w:val="28"/>
          <w:szCs w:val="28"/>
          <w:lang w:val="kk-KZ" w:eastAsia="kk-KZ"/>
        </w:rPr>
        <w:t xml:space="preserve">көлге қатысты </w:t>
      </w:r>
      <w:r w:rsidRPr="00324689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кешенді, терең зерттеулер жүргізе отырып, </w:t>
      </w:r>
      <w:r w:rsidRPr="00324689">
        <w:rPr>
          <w:rFonts w:ascii="Times New Roman" w:eastAsia="Times New Roman" w:hAnsi="Times New Roman" w:cs="Times New Roman"/>
          <w:i/>
          <w:sz w:val="28"/>
          <w:szCs w:val="28"/>
          <w:lang w:val="kk-KZ" w:eastAsia="kk-KZ"/>
        </w:rPr>
        <w:t>экологиялық қауіп тәуекелі деңгейін анықтау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kk-KZ"/>
        </w:rPr>
        <w:t>ға қатысты</w:t>
      </w:r>
    </w:p>
    <w:p w:rsidR="00324689" w:rsidRPr="00324689" w:rsidP="00324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Ағымдағы жылы Қазақстан Республикасы Экология, геология және табиғи ресурстар министрлігі Алматы, Жамбыл және Қарағанды облыстарының әкімдіктерімен бірлесіп, Балқаш көлін сақтау мақсатында кешенді іс-шараларды қабылдау үшін «Балқаш көлін сақтау жөніндегі арнайы жоспарды» (бұдан әрі – Арнайы жоспар) әзірледі және бекітті.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Арнайы жоспарда көзделген шараларды іске асыру Балқаш көлінің тұрақты деңгейін қамтамасыз ету үшін қажетті кепілді жерүсті ағынын ұстап тұруға мүмкіндік береді.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Арнайы жоспардың нысаналы индикаторлары мен нәтижелер көрсеткіштері «Жасыл Қазақстан» ұлттық жобасында Балқаш көлін сақтау жөніндегі іс-шаралармен декомпозицияланатын болады.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Сондай-ақ, 2016 жылдан бастап 2018 жылға дейінгі кезеңде География және су қауіпсіздігі институтының мамандарымен Көлдер атласы әзірленді. Зерттеу мақсаты Қазақстан көлдері қорының картографиялық-талдамалық базасы деректерін құру болды, тақырыптық бағыттар инвентаризациялық және бағалау карталарының жинағынан тұрады: су-ресурстық, гидрохимиялық және токсикологиялық жағдайы, көлдердің гидробиологиялық, туристік-рекреациялық және сауықтыру ресурстық әлеуеті, өнеркәсіпті және ауыл шаруашылығын сумен жабдықтау мақсатында оны пайдалану, балық шаруашылығын жүргізу, рекреация, туризм мен бальнеологияны дамыту.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Өз кезегінде Көлдер атласын әзірлеу Қазақстан Республикасын әлеуметтік-экономикалық дамытуды стратегиялық жоспарлаудың негізгі ғылыми негіздемесі, оны ұлттық, су және экологиялық қауіпсіздігін қамтамасыз ету болып табылады.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Көлге құйылатын су мөлшерін арттырып, үнемдеу үшін Іле өзеніне салынған гидромелиоративтік жүйелерді қайта жаңарту мен суарудың заманауи технологияларын енгізуді, сондай-ақ көлді ластап отырған өнеркәсіптік кәсіпорындардың зиянды төгінділерін қысқарту бойынша қажетті шараларды қабылдау</w:t>
      </w:r>
      <w:r>
        <w:rPr>
          <w:rFonts w:ascii="Times New Roman" w:eastAsia="Times New Roman" w:hAnsi="Times New Roman" w:cs="Times New Roman"/>
          <w:i/>
          <w:sz w:val="28"/>
          <w:szCs w:val="24"/>
          <w:lang w:val="kk-KZ" w:eastAsia="ru-RU"/>
        </w:rPr>
        <w:t>ға қатысты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Өзен арқылы көлге құйылатын су мөлшерін арттыру және үнемдеу үшін ирригациялық инфрақұрылымды қалпына келтіру, жаңарту және гидротехникалық құрылыстарға реконструкция жұмыстарын жүргізу, сондай-ақ суарудың су үнемдеу технологияларын енгізу және ылғал сүйгіш дақылдар алаңдарын қысқарту бойынша жұмыстарын жүргізу жоспарланған. Қазіргі уақытта, Арнайы жоспарды іске асыру мақсатында тиісті іс-шаралар жүргізілуде.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2021 жылғы 2 қаңтардағы 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Қазақстан Республикасының Экология кодексінің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(бұдан әрі – Экология кодексі) 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(418 - баптың 10-тармағы) негізінде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IV санаттағы объектілерге жатқызылған объектілер операторлары алған қоршаған ортаға эмиссияларға рұқсаттардың, эмиссиялар нормативтерінің қолданылуы 2021 жылғы 1 шілдеден бастап тоқтатылды, III санаттағы объектілер бойынша қоршаған ортаға әсер ету туралы декларация берілген күннен бастап тоқтату жоспарлануда.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Осылайша, берілген лимиттердің көлемі айтарлықтай өзгереді. Жаңа Экология кодексінің ережелері табиғат пайдалануды реттеудің өзге де әдістерін көздейді.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Сонымен қатар, </w:t>
      </w:r>
      <w:r w:rsidR="002B76E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Қазақстан Республикасының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Экология, геология және табиғи ресурстар министрлі</w:t>
      </w:r>
      <w:r w:rsidR="002B76E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інің 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«Қазгидромет»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республикалық мемлекеттік кәсіпорны 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Алматы (3 тұстама) және Қарағанды (17 тұстама) облыс</w:t>
      </w:r>
      <w:r w:rsidR="002B76E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тар</w:t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ының аумағында тұрақты түрде Балқаш көлінің жер үсті сулары сапасына мониторинг жүргізілетінін хабарлаймыз.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Алынатын су сынамаларында жер үсті суларын зерттеу кезінде 52 физика-химиялық сапа көрсеткішіне дейін анықталады: температура, қалқыма заттары, мөлдірлік, сутегі көрсеткіші, ерітілген оттегі, 5 тәулік ішінде оттегінің биохимиялық тұтынылуы, оттегінің химиялық тұтынылуы, тұз құрамының басты иондары, биогендік және бейорганикалық заттар, органикалық заттар (мұнай өнімдері, фенолдар), ауыр металдар.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Гидробиологиялық көрсеткіштер бойынша жер үсті суларының сапасы жағдайына мониторинг Қарағанды облысының аумағындағы Балқаш көлінде </w:t>
      </w:r>
      <w:r w:rsidR="002B76E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15 тұстамада өткізілуде. Су сапасы фитопланктон, зоопланктон, перифитон және бентос бойынша анықталады, сондай-ақ биотестілеу өткізіледі (судың қатты токсинделгені анықталады).</w:t>
      </w:r>
    </w:p>
    <w:p w:rsidR="00324689" w:rsidRPr="00324689" w:rsidP="0032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Сонымен бірге, Қазақстан Республикасы Үкіметінің 2021 жылғы </w:t>
      </w:r>
      <w:r w:rsidR="002B76E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br/>
      </w: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12 қазандағы №731 қаулысымен бекітілген «Жасыл Қазақстан» ұлттық жобасында экологиялық жағдайды жақсартуға және су мөлшерінің шығынын үнемдеуге арналған тиісті іс-шаралар қарастырылған.</w:t>
      </w:r>
    </w:p>
    <w:p w:rsidR="008A10AA" w:rsidRPr="008A10AA" w:rsidP="00324689">
      <w:pPr>
        <w:pBdr>
          <w:bottom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2468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Жоғарыда айтылғанды ескере отырып, Қазақстан Республикасының Үкіметі депутаттық сауалда көтерген ұсыныстарыңызды қолдайтынын және аталған мәселелерді шешуге бағытталған жұмыстарды жалғастыратынын хабарлайды.</w:t>
      </w:r>
    </w:p>
    <w:p w:rsidR="008A10AA" w:rsidRPr="008A10AA" w:rsidP="008A1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10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8A10AA" w:rsidRPr="008A10AA" w:rsidP="008A10AA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10AA" w:rsidRPr="008A10AA" w:rsidP="008A10AA">
      <w:pPr>
        <w:pBdr>
          <w:bottom w:val="single" w:sz="4" w:space="31" w:color="FFFFFF"/>
        </w:pBd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A10A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А. Мамин</w:t>
      </w:r>
    </w:p>
    <w:p w:rsid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</w:p>
    <w:p w:rsid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</w:p>
    <w:p w:rsid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</w:p>
    <w:p w:rsid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</w:p>
    <w:p w:rsid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</w:p>
    <w:p w:rsidR="00A24F7D" w:rsidRPr="008A10AA" w:rsidP="008F2441">
      <w:pPr>
        <w:spacing w:after="0" w:line="240" w:lineRule="auto"/>
        <w:rPr>
          <w:rFonts w:ascii="Times New Roman" w:eastAsia="Calibri" w:hAnsi="Times New Roman" w:cs="Times New Roman"/>
          <w:i/>
          <w:szCs w:val="28"/>
          <w:lang w:val="kk-KZ"/>
        </w:rPr>
      </w:pPr>
      <w:bookmarkStart w:id="0" w:name="_GoBack"/>
      <w:bookmarkEnd w:id="0"/>
      <w:r w:rsidRPr="008A10AA">
        <w:rPr>
          <w:rFonts w:ascii="Times New Roman" w:eastAsia="Calibri" w:hAnsi="Times New Roman" w:cs="Times New Roman"/>
          <w:i/>
          <w:szCs w:val="28"/>
          <w:lang w:val="kk-KZ"/>
        </w:rPr>
        <w:t xml:space="preserve">Қ.А. </w:t>
      </w:r>
      <w:r w:rsidRPr="008A10AA">
        <w:rPr>
          <w:rFonts w:ascii="Times New Roman" w:eastAsia="Calibri" w:hAnsi="Times New Roman" w:cs="Times New Roman"/>
          <w:i/>
          <w:szCs w:val="28"/>
          <w:lang w:val="kk-KZ"/>
        </w:rPr>
        <w:t xml:space="preserve">Мейрембеков </w:t>
      </w:r>
    </w:p>
    <w:p w:rsidR="00DF52E2" w:rsidRPr="008A10AA" w:rsidP="008A10AA">
      <w:pPr>
        <w:spacing w:after="0" w:line="240" w:lineRule="auto"/>
        <w:rPr>
          <w:i/>
          <w:sz w:val="20"/>
        </w:rPr>
      </w:pPr>
      <w:r w:rsidRPr="008A10AA">
        <w:rPr>
          <w:rFonts w:ascii="Times New Roman" w:eastAsia="Calibri" w:hAnsi="Times New Roman" w:cs="Times New Roman"/>
          <w:i/>
          <w:szCs w:val="28"/>
          <w:lang w:val="kk-KZ"/>
        </w:rPr>
        <w:t>75-00-33</w:t>
      </w:r>
    </w:p>
    <w:sectPr w:rsidSect="00DB58EA">
      <w:headerReference w:type="default" r:id="rId4"/>
      <w:headerReference w:type="first" r:id="rId5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0846527"/>
      <w:docPartObj>
        <w:docPartGallery w:val="Page Numbers (Top of Page)"/>
        <w:docPartUnique/>
      </w:docPartObj>
    </w:sdtPr>
    <w:sdtContent>
      <w:p w:rsidR="00DB58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58">
          <w:rPr>
            <w:noProof/>
          </w:rPr>
          <w:t>3</w:t>
        </w:r>
        <w:r>
          <w:fldChar w:fldCharType="end"/>
        </w:r>
      </w:p>
    </w:sdtContent>
  </w:sdt>
  <w:p w:rsidR="00DB5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