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F06F6" w:rsidRPr="00045A1B" w:rsidP="00BF79FE">
      <w:pPr>
        <w:pStyle w:val="j16"/>
        <w:shd w:val="clear" w:color="auto" w:fill="FFFFFF"/>
        <w:spacing w:before="0" w:beforeAutospacing="0" w:after="0" w:afterAutospacing="0"/>
        <w:ind w:right="252" w:firstLine="6804"/>
        <w:jc w:val="right"/>
        <w:textAlignment w:val="baseline"/>
        <w:rPr>
          <w:i/>
          <w:color w:val="000000"/>
          <w:sz w:val="28"/>
          <w:szCs w:val="28"/>
        </w:rPr>
      </w:pPr>
      <w:r w:rsidRPr="00045A1B">
        <w:rPr>
          <w:i/>
          <w:color w:val="000000"/>
          <w:sz w:val="28"/>
          <w:szCs w:val="28"/>
          <w:lang w:val="kk-KZ"/>
        </w:rPr>
        <w:t xml:space="preserve">Қосымша </w:t>
      </w:r>
      <w:r w:rsidRPr="00045A1B" w:rsidR="00CD74A6">
        <w:rPr>
          <w:i/>
          <w:color w:val="000000"/>
          <w:sz w:val="28"/>
          <w:szCs w:val="28"/>
        </w:rPr>
        <w:t>№ 2</w:t>
      </w:r>
    </w:p>
    <w:p w:rsidR="000F06F6" w:rsidRPr="00045A1B" w:rsidP="000F0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</w:rPr>
      </w:pPr>
    </w:p>
    <w:p w:rsidR="00324464" w:rsidRPr="00045A1B" w:rsidP="00CD74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«С.Сейфуллин атындағы Қазақ агротехникалық университеті» К</w:t>
      </w:r>
      <w:r w:rsidRPr="00045A1B" w:rsidR="00C25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е</w:t>
      </w:r>
      <w:r w:rsidRPr="00045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АҚ және еншілес ұйымдарының ақпараты</w:t>
      </w:r>
    </w:p>
    <w:p w:rsidR="00CD74A6" w:rsidRPr="00420612" w:rsidP="000F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14029" w:type="dxa"/>
        <w:tblLook w:val="04A0"/>
      </w:tblPr>
      <w:tblGrid>
        <w:gridCol w:w="530"/>
        <w:gridCol w:w="2584"/>
        <w:gridCol w:w="5245"/>
        <w:gridCol w:w="5670"/>
      </w:tblGrid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E019F4" w:rsidRPr="00420612" w:rsidP="0032446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4" w:type="dxa"/>
          </w:tcPr>
          <w:p w:rsidR="00E019F4" w:rsidRPr="00420612" w:rsidP="00722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2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Мәселе</w:t>
            </w:r>
          </w:p>
          <w:p w:rsidR="00E019F4" w:rsidRPr="00420612" w:rsidP="00722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019F4" w:rsidRPr="00420612" w:rsidP="00722545">
            <w:pPr>
              <w:jc w:val="center"/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  <w:t>Мәселелік</w:t>
            </w:r>
            <w:r w:rsidRPr="00420612" w:rsidR="00C03757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  <w:t xml:space="preserve"> сұрақ</w:t>
            </w:r>
          </w:p>
        </w:tc>
        <w:tc>
          <w:tcPr>
            <w:tcW w:w="5670" w:type="dxa"/>
          </w:tcPr>
          <w:p w:rsidR="00E019F4" w:rsidRPr="00420612" w:rsidP="00722545">
            <w:pPr>
              <w:jc w:val="center"/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  <w:t>Шешімі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14029" w:type="dxa"/>
            <w:gridSpan w:val="4"/>
            <w:vAlign w:val="center"/>
          </w:tcPr>
          <w:p w:rsidR="00722545" w:rsidRPr="00BF79FE" w:rsidP="00BF79FE">
            <w:pPr>
              <w:pStyle w:val="ListParagraph0"/>
              <w:numPr>
                <w:ilvl w:val="0"/>
                <w:numId w:val="4"/>
              </w:numPr>
              <w:ind w:left="0" w:firstLine="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«С. Сейфуллин</w:t>
            </w:r>
            <w:r w:rsidRPr="00420612" w:rsidR="00DD6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атындағы Қазақ агротехникалық университеті</w:t>
            </w:r>
            <w:r w:rsidRPr="00420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420612" w:rsidR="00DD6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КЕАҚ</w:t>
            </w:r>
          </w:p>
          <w:p w:rsidR="00BF79FE" w:rsidRPr="00420612" w:rsidP="00BF79FE">
            <w:pPr>
              <w:pStyle w:val="ListParagraph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E019F4" w:rsidRPr="00420612" w:rsidP="00263E9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4" w:type="dxa"/>
          </w:tcPr>
          <w:p w:rsidR="00AF7D8C" w:rsidRPr="00420612" w:rsidP="00AF7D8C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Қазақстан экономикасына сұранысқа ие бәсекеге қабілетті кадрларды даярлау</w:t>
            </w:r>
          </w:p>
          <w:p w:rsidR="00E019F4" w:rsidRPr="00420612" w:rsidP="00263E99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AF7D8C" w:rsidRPr="00420612" w:rsidP="007B3773">
            <w:pPr>
              <w:pStyle w:val="a1"/>
              <w:widowControl w:val="0"/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420612">
              <w:rPr>
                <w:sz w:val="24"/>
                <w:szCs w:val="24"/>
                <w:lang w:val="ru-RU"/>
              </w:rPr>
              <w:t>Ақмола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облысы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Шортанды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ауданы</w:t>
            </w:r>
            <w:r w:rsidRPr="00420612">
              <w:rPr>
                <w:sz w:val="24"/>
                <w:szCs w:val="24"/>
                <w:lang w:val="ru-RU"/>
              </w:rPr>
              <w:t xml:space="preserve"> Научный </w:t>
            </w:r>
            <w:r w:rsidRPr="00420612">
              <w:rPr>
                <w:sz w:val="24"/>
                <w:szCs w:val="24"/>
                <w:lang w:val="ru-RU"/>
              </w:rPr>
              <w:t>кентіндегі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жатақхана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құрылысын</w:t>
            </w:r>
            <w:r w:rsidRPr="00420612">
              <w:rPr>
                <w:sz w:val="24"/>
                <w:szCs w:val="24"/>
                <w:lang w:val="ru-RU"/>
              </w:rPr>
              <w:t xml:space="preserve"> </w:t>
            </w:r>
            <w:r w:rsidRPr="00420612">
              <w:rPr>
                <w:sz w:val="24"/>
                <w:szCs w:val="24"/>
                <w:lang w:val="ru-RU"/>
              </w:rPr>
              <w:t>аяқтау</w:t>
            </w:r>
            <w:r w:rsidRPr="00420612">
              <w:rPr>
                <w:sz w:val="24"/>
                <w:szCs w:val="24"/>
                <w:lang w:val="ru-RU"/>
              </w:rPr>
              <w:t xml:space="preserve">. </w:t>
            </w:r>
          </w:p>
          <w:p w:rsidR="00E019F4" w:rsidRPr="00420612" w:rsidP="007B3773">
            <w:pPr>
              <w:pStyle w:val="a1"/>
              <w:widowControl w:val="0"/>
              <w:tabs>
                <w:tab w:val="left" w:pos="1134"/>
              </w:tabs>
              <w:rPr>
                <w:sz w:val="24"/>
                <w:szCs w:val="24"/>
                <w:lang w:val="ru-RU"/>
              </w:rPr>
            </w:pPr>
            <w:r w:rsidRPr="00420612">
              <w:rPr>
                <w:sz w:val="24"/>
                <w:szCs w:val="24"/>
                <w:lang w:val="ru-RU"/>
              </w:rPr>
              <w:t>«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А.И. Бараев </w:t>
            </w:r>
            <w:r w:rsidRPr="00420612" w:rsidR="00AF7D8C">
              <w:rPr>
                <w:sz w:val="24"/>
                <w:szCs w:val="24"/>
                <w:lang w:val="ru-RU"/>
              </w:rPr>
              <w:t>атындағы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астық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шаруашылығы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ғылыми-өндірістік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орталығы</w:t>
            </w:r>
            <w:r w:rsidRPr="00420612">
              <w:rPr>
                <w:sz w:val="24"/>
                <w:szCs w:val="24"/>
                <w:lang w:val="ru-RU"/>
              </w:rPr>
              <w:t xml:space="preserve">» 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ЖШС </w:t>
            </w:r>
            <w:r w:rsidRPr="00420612" w:rsidR="00AF7D8C">
              <w:rPr>
                <w:sz w:val="24"/>
                <w:szCs w:val="24"/>
                <w:lang w:val="ru-RU"/>
              </w:rPr>
              <w:t>базасында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білім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алушылардың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(</w:t>
            </w:r>
            <w:r w:rsidRPr="00420612" w:rsidR="00AF7D8C">
              <w:rPr>
                <w:sz w:val="24"/>
                <w:szCs w:val="24"/>
                <w:lang w:val="ru-RU"/>
              </w:rPr>
              <w:t>бакалавриат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, магистратура, докторантура) </w:t>
            </w:r>
            <w:r w:rsidRPr="00420612" w:rsidR="00AF7D8C">
              <w:rPr>
                <w:sz w:val="24"/>
                <w:szCs w:val="24"/>
                <w:lang w:val="ru-RU"/>
              </w:rPr>
              <w:t>тұруы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үшін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жағдайлардың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болмауы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, </w:t>
            </w:r>
            <w:r w:rsidRPr="00420612" w:rsidR="00AF7D8C">
              <w:rPr>
                <w:sz w:val="24"/>
                <w:szCs w:val="24"/>
                <w:lang w:val="ru-RU"/>
              </w:rPr>
              <w:t>ол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ғылыми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зерттеулер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, </w:t>
            </w:r>
            <w:r w:rsidRPr="00420612" w:rsidR="00AF7D8C">
              <w:rPr>
                <w:sz w:val="24"/>
                <w:szCs w:val="24"/>
                <w:lang w:val="ru-RU"/>
              </w:rPr>
              <w:t>технологиялар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трансферті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және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Өсімдік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шаруашылығы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саласында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кадрлар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даярлау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үшін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негізгі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база </w:t>
            </w:r>
            <w:r w:rsidRPr="00420612" w:rsidR="00AF7D8C">
              <w:rPr>
                <w:sz w:val="24"/>
                <w:szCs w:val="24"/>
                <w:lang w:val="ru-RU"/>
              </w:rPr>
              <w:t>болып</w:t>
            </w:r>
            <w:r w:rsidRPr="00420612" w:rsidR="00AF7D8C">
              <w:rPr>
                <w:sz w:val="24"/>
                <w:szCs w:val="24"/>
                <w:lang w:val="ru-RU"/>
              </w:rPr>
              <w:t xml:space="preserve"> </w:t>
            </w:r>
            <w:r w:rsidRPr="00420612" w:rsidR="00AF7D8C">
              <w:rPr>
                <w:sz w:val="24"/>
                <w:szCs w:val="24"/>
                <w:lang w:val="ru-RU"/>
              </w:rPr>
              <w:t>табылады</w:t>
            </w:r>
            <w:r w:rsidRPr="00420612" w:rsidR="00AF7D8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</w:tcPr>
          <w:p w:rsidR="00DC054B" w:rsidRPr="00420612" w:rsidP="00A26F4F">
            <w:pPr>
              <w:pStyle w:val="ListParagraph0"/>
              <w:widowControl w:val="0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С. Сейфуллин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КАТУ-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680,0 мл</w:t>
            </w:r>
            <w:r w:rsidRPr="00420612" w:rsidR="002A2E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</w:t>
            </w: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ажет</w:t>
            </w: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кіреберісті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, бес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қабатты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тұрғын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үйдің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құрылысын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аяқтау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жобалау-сметалық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құжаттама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әзірленді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алайда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қорытындының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қолданылу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аяқталуына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түзету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етіледі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9F4" w:rsidRPr="00420612" w:rsidP="001C5FBE">
            <w:pPr>
              <w:pStyle w:val="ListParagraph0"/>
              <w:widowControl w:val="0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Нәтиже</w:t>
            </w:r>
            <w:r w:rsidRPr="00420612" w:rsidR="001C5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1C5FBE" w:rsidRPr="00420612" w:rsidP="001C5FBE">
            <w:pPr>
              <w:pStyle w:val="ListParagraph0"/>
              <w:widowControl w:val="0"/>
              <w:tabs>
                <w:tab w:val="left" w:pos="113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тәжірибеге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бағытталған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мамандарды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2021-2022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жылынан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процесін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базасына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кезең-кезеңімен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көшіру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басталады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Өсімдік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саласындағы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ғылыми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селекциялық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жетістіктерді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көбейту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бүкіл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маусымы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практика.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E019F4" w:rsidRPr="00420612" w:rsidP="00263E99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2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E019F4" w:rsidRPr="00420612" w:rsidP="00263E99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АӨК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цифрландыру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қолданбалы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қпараттық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жүйелерді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дамыту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9B7355" w:rsidRPr="00420612" w:rsidP="0001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биоматематика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ғылыми-зерттеу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студенттердің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құзыреттілік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деңгейін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арттыру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болжау</w:t>
            </w:r>
            <w:r w:rsidRPr="00420612" w:rsidR="000166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математикалық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модельдеу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зертханасын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sz w:val="24"/>
                <w:szCs w:val="24"/>
              </w:rPr>
              <w:t>жарақтандыру</w:t>
            </w:r>
          </w:p>
        </w:tc>
        <w:tc>
          <w:tcPr>
            <w:tcW w:w="5670" w:type="dxa"/>
          </w:tcPr>
          <w:p w:rsidR="0001666E" w:rsidRPr="00420612" w:rsidP="0001411D">
            <w:pPr>
              <w:jc w:val="both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2021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жылы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С.Сейфуллин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атындағы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ҚАТУ – 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ға-70,6 млн. 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теңге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қажет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01411D" w:rsidRPr="00420612" w:rsidP="0001411D">
            <w:pPr>
              <w:jc w:val="both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  <w:t>Нәтиже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1411D" w:rsidRPr="00420612" w:rsidP="0001411D">
            <w:pPr>
              <w:widowControl w:val="0"/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Білім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алушылардың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жоғары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технологиялар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саласында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практикалық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дағдыларды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игеруі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: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математикалық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модельдеудің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заманауи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әдістері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биоматематика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.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Аграрлық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сектордың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қазіргі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заманғы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міндеттерін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шешуге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бағдарланған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терең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іргелі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қолданбалы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білімі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бар,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қазіргі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заманғы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ауыл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шаруашылығын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онымен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шектес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экономика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салаларын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ғылыми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негізделген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жүргізудің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озық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әдістері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мен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технологияларын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меңгерген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жоғары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білікті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мамандарды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даярлау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E019F4" w:rsidRPr="00420612" w:rsidP="00263E99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3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E019F4" w:rsidRPr="00420612" w:rsidP="007A3472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Базалық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(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іргелі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)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пәндер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бойынша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білім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алушылардың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дайындық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деңгейінің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жеткіліксіздігі</w:t>
            </w:r>
          </w:p>
        </w:tc>
        <w:tc>
          <w:tcPr>
            <w:tcW w:w="5245" w:type="dxa"/>
          </w:tcPr>
          <w:p w:rsidR="00E019F4" w:rsidRPr="00420612" w:rsidP="0001666E">
            <w:pPr>
              <w:pStyle w:val="ListParagraph0"/>
              <w:widowControl w:val="0"/>
              <w:tabs>
                <w:tab w:val="left" w:pos="113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Базалық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пәндер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бойынша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алушылардың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дайындық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деңгейін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үшін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 мен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химияның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кешенді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зертханасын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құру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Мамандандырылған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білім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беру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бағдарламаларын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іске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асырудың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жоғары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тиімділігін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етеді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019F4" w:rsidRPr="00420612" w:rsidP="00263E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2021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жылы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С.Сейфуллин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атындағы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ҚАТУ – 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ға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20612" w:rsidR="006F1C19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321</w:t>
            </w:r>
            <w:r w:rsidRPr="00420612" w:rsidR="006F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,5 </w:t>
            </w:r>
            <w:r w:rsidRPr="00420612" w:rsidR="006F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млн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.тенге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қажет.</w:t>
            </w:r>
          </w:p>
          <w:p w:rsidR="006C7286" w:rsidRPr="00420612" w:rsidP="00943EC3">
            <w:pPr>
              <w:jc w:val="both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  <w:t>Нәтиже</w:t>
            </w:r>
            <w:r w:rsidRPr="00420612" w:rsidR="00943EC3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  <w:t>: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</w:p>
          <w:p w:rsidR="00943EC3" w:rsidRPr="00420612" w:rsidP="003E5850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Шетелдік әріптестердің талаптарына сәйкес білім алушыларды магистратураның пилоттық екідипломды бағдарламаларына дайындау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E019F4" w:rsidRPr="00420612" w:rsidP="00263E99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4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E019F4" w:rsidRPr="00420612" w:rsidP="008A19B1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Жоғары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білікті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ветеринариялық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дәрігерлерді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практикалық-бағдарланған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даярлаудың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жеткіліксіз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деңгейі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01666E" w:rsidRPr="00420612" w:rsidP="0001666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АӨК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кадрлар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даярлау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жолымен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экологиялық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жағдайды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жақсарту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Ветеринариялық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клиникалық-диагностикалық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орталық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құру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  <w:p w:rsidR="00F4637A" w:rsidRPr="00420612" w:rsidP="00016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Соңғы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жылдары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республика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аумағында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инфекцияның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149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ошағы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тіркелген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оның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ішінде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құтыру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пастереллез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қарасан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сібір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жарасы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нодулярлық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дерматит.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Бұдан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басқа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Қазақстан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аумағында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жыл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сайын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адам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мен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жануарларға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қауіпті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топырақ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табиғи-ошақтық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инфекциялардың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бірлі-жарым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жағдайлары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тіркеледі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олар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: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қой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шешегі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шошқаның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классикалық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обасы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листериоз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лептоспироз,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энтеротоксемия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вирустық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диарея, туберкулез,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жылқының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эпизоотиялық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лимфагиниті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т. б. Республика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аумағында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тіркелетін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инфекциялық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аурулардың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барлығы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дерлік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стационарлық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сипатқа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болды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инфекцияның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түріне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байланысты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эпизоотиялық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процесс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үзілмейді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</w:tcPr>
          <w:p w:rsidR="00E019F4" w:rsidRPr="00420612" w:rsidP="00263E9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2021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жылы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С.Сейфуллин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атындағы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ҚАТУ – </w:t>
            </w:r>
            <w:r w:rsidRPr="00420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620,5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млн  тенге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қажет</w:t>
            </w:r>
            <w:r w:rsidRPr="00420612" w:rsidR="006F1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E5245" w:rsidRPr="00420612" w:rsidP="00263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66E" w:rsidRPr="00420612" w:rsidP="0001666E">
            <w:pPr>
              <w:jc w:val="both"/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Нәтиже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  <w:p w:rsidR="0001666E" w:rsidRPr="00420612" w:rsidP="0001666E">
            <w:pPr>
              <w:jc w:val="both"/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Жоғары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технологиялар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саласында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практикалық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дағдыларды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күшейте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отырып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мамандарды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даярлау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сапасын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арттыру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: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жануарлар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ауруларын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диагностикалаудың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емдеудің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алдын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алудың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заманауи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әдістері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және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т. б.</w:t>
            </w:r>
          </w:p>
          <w:p w:rsidR="00F4637A" w:rsidRPr="00420612" w:rsidP="000166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Елдегі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жиі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өзгеретін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эпизоотиялық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ахуал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біліктілікті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арттыру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кадрларды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үнемі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қайта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даярлауды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талап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етеді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. Ветеринария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мамандарын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даярлау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сапасын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жақсарту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мамандандырылған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мекемелерде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практикадан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міндетті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түрде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өту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арқылы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білім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алушы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студенттердің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мамандануын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жүргізу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bCs/>
                <w:sz w:val="24"/>
                <w:szCs w:val="24"/>
                <w:lang w:eastAsia="en-US"/>
              </w:rPr>
              <w:t>қажет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14029" w:type="dxa"/>
            <w:gridSpan w:val="4"/>
          </w:tcPr>
          <w:p w:rsidR="00722545" w:rsidRPr="00BF79FE" w:rsidP="00722545">
            <w:pPr>
              <w:pStyle w:val="ListParagraph0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«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Солтүстік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Қазақстан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ауыл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шаруашылық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тәжірибе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станциясы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  <w:t>» ЖШС</w:t>
            </w:r>
          </w:p>
          <w:p w:rsidR="00BF79FE" w:rsidRPr="00420612" w:rsidP="00BF79FE">
            <w:pPr>
              <w:pStyle w:val="ListParagraph0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722545" w:rsidRPr="00420612" w:rsidP="00722545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84" w:type="dxa"/>
          </w:tcPr>
          <w:p w:rsidR="00722545" w:rsidRPr="00420612" w:rsidP="00722545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СҚ АШТС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базасында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студенттердің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магистранттар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мен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докторанттардың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оқу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процесін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ұйымдастыру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қажетті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жағдайлардың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болмауы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A675A8" w:rsidRPr="00420612" w:rsidP="005F209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Білім беру процесін жүзеге асыру үшін СҚ АШТС ғимаратын оқу сыныптарына қайта жаңарту.</w:t>
            </w:r>
          </w:p>
        </w:tc>
        <w:tc>
          <w:tcPr>
            <w:tcW w:w="5670" w:type="dxa"/>
          </w:tcPr>
          <w:p w:rsidR="00CD74A6" w:rsidRPr="00420612" w:rsidP="00CD7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 xml:space="preserve">2021 </w:t>
            </w:r>
            <w:r w:rsidRPr="00420612" w:rsidR="00A675A8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жылы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 xml:space="preserve"> </w:t>
            </w:r>
            <w:r w:rsidRPr="00420612" w:rsidR="00A675A8">
              <w:rPr>
                <w:rFonts w:ascii="Times New Roman" w:hAnsi="Times New Roman" w:eastAsiaTheme="minorHAnsi" w:cs="Times New Roman"/>
                <w:b/>
                <w:sz w:val="24"/>
                <w:szCs w:val="24"/>
                <w:lang w:val="kk-KZ" w:eastAsia="en-US"/>
              </w:rPr>
              <w:t>қажет</w:t>
            </w:r>
            <w:r w:rsidRPr="00420612">
              <w:rPr>
                <w:rFonts w:ascii="Times New Roman" w:hAnsi="Times New Roman" w:eastAsiaTheme="minorHAnsi" w:cs="Times New Roman"/>
                <w:b/>
                <w:bCs/>
                <w:sz w:val="24"/>
                <w:szCs w:val="24"/>
                <w:lang w:val="kk-KZ" w:eastAsia="en-US"/>
              </w:rPr>
              <w:t xml:space="preserve"> – </w:t>
            </w:r>
            <w:r w:rsidRPr="0042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45,0 млн.тенге.</w:t>
            </w:r>
          </w:p>
          <w:p w:rsidR="00A675A8" w:rsidRPr="00420612" w:rsidP="00A675A8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 xml:space="preserve">Жыл сайын СҚ АШТС базасында С.Сейфуллин атындағы КАТУ-дың 150-ден астам білім алушысы оқудан және өндірістік практикадан өтеді. </w:t>
            </w:r>
          </w:p>
          <w:p w:rsidR="00722545" w:rsidRPr="00420612" w:rsidP="00EE101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</w:p>
        </w:tc>
      </w:tr>
      <w:tr w:rsidTr="00BF79FE">
        <w:tblPrEx>
          <w:tblW w:w="14029" w:type="dxa"/>
          <w:tblLook w:val="04A0"/>
        </w:tblPrEx>
        <w:tc>
          <w:tcPr>
            <w:tcW w:w="14029" w:type="dxa"/>
            <w:gridSpan w:val="4"/>
          </w:tcPr>
          <w:p w:rsidR="00FB3923" w:rsidRPr="00BF79FE" w:rsidP="00BF79FE">
            <w:pPr>
              <w:pStyle w:val="ListParagraph0"/>
              <w:numPr>
                <w:ilvl w:val="0"/>
                <w:numId w:val="4"/>
              </w:numPr>
              <w:ind w:left="0" w:firstLine="18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</w:pPr>
            <w:r w:rsidRPr="004206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«Ә. Н. Бөкейхан атындағы Қазақ орман шаруашылығы және агроорманмелиорация ғылыми-зерттеу институты» ЖШС</w:t>
            </w:r>
          </w:p>
          <w:p w:rsidR="00BF79FE" w:rsidRPr="00420612" w:rsidP="00BF79FE">
            <w:pPr>
              <w:pStyle w:val="ListParagraph0"/>
              <w:ind w:left="18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FB3923" w:rsidRPr="00420612" w:rsidP="00FB3923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6</w:t>
            </w:r>
            <w:r w:rsidRPr="00420612" w:rsidR="00C03B0B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A6077D" w:rsidRPr="00420612" w:rsidP="0089269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Ағаш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дақылдарының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жаңа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сорттарын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жедел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жасау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және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оларды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көбейту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бойынша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селекциялық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зерттеулер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жүргізу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үшін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жабдықталған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базаның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</w:rPr>
              <w:t>болмауы</w:t>
            </w:r>
            <w:r w:rsidRPr="00420612" w:rsidR="00892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B3923" w:rsidRPr="00420612" w:rsidP="00FB3923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A675A8" w:rsidRPr="00420612" w:rsidP="00A675A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Ғылыми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тәжірибелік-эксперименттік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орман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питомнигін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құру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  <w:p w:rsidR="00FB3923" w:rsidRPr="00420612" w:rsidP="00F94544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E14AD3" w:rsidRPr="00420612" w:rsidP="00FB392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420612" w:rsidR="00FB39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2021 </w:t>
            </w:r>
            <w:r w:rsidRPr="00420612" w:rsidR="00A675A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жылы қажет</w:t>
            </w:r>
            <w:r w:rsidRPr="00420612" w:rsidR="00FB39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420612" w:rsidR="00FB39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612" w:rsidR="00FB3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105</w:t>
            </w:r>
            <w:r w:rsidRPr="004206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,3 млн</w:t>
            </w:r>
            <w:r w:rsidRPr="00420612" w:rsidR="00FB3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 тенге.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</w:p>
          <w:p w:rsidR="00E14AD3" w:rsidRPr="00420612" w:rsidP="00FB392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  <w:p w:rsidR="00E14AD3" w:rsidRPr="00420612" w:rsidP="00FB3923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</w:pPr>
            <w:r w:rsidRPr="0042061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kk-KZ" w:eastAsia="ar-SA"/>
              </w:rPr>
              <w:t>Нәтиже</w:t>
            </w:r>
            <w:r w:rsidRPr="0042061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eastAsia="ar-SA"/>
              </w:rPr>
              <w:t xml:space="preserve">: </w:t>
            </w:r>
          </w:p>
          <w:p w:rsidR="00FB3923" w:rsidRPr="00420612" w:rsidP="00F94544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Ғылыми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тәжірибелік-эксперименттік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орман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питомнигі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ағаштардың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жаңа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сорттарын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жедел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 w:rsidR="00DC6891">
              <w:rPr>
                <w:rFonts w:ascii="Times New Roman" w:hAnsi="Times New Roman" w:cs="Times New Roman"/>
                <w:spacing w:val="-2"/>
                <w:sz w:val="24"/>
                <w:szCs w:val="24"/>
                <w:lang w:val="kk-KZ" w:eastAsia="ar-SA"/>
              </w:rPr>
              <w:t>жасау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бойынша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селекциялық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зерттеулер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жүргізуге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интродуценттердің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бейімделу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процестерін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зерделеуге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отырғызу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материалын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жедел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өсіру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(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микроклональды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көбейту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өсу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стимуляторларын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қолдану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перспективалы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және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аудандастырылған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сорттарды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көбейту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)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бойынша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жаңа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технологиялар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әзірлеуге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және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шетелдік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технологиялар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трансфертіне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бағытталатын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болады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.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Сондай-ақ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питомник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базасында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студенттер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магистранттар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мен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докторанттар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оқитын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болады</w:t>
            </w:r>
            <w:r w:rsidRPr="00420612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14029" w:type="dxa"/>
            <w:gridSpan w:val="4"/>
          </w:tcPr>
          <w:p w:rsidR="00702811" w:rsidRPr="00BF79FE" w:rsidP="00EE101E">
            <w:pPr>
              <w:pStyle w:val="ListParagraph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 Бараев 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атындағы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астық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шаруашылығы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ғылыми-өндірістік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орталығы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» ЖШС </w:t>
            </w:r>
          </w:p>
          <w:p w:rsidR="00BF79FE" w:rsidRPr="00420612" w:rsidP="00BF79FE">
            <w:pPr>
              <w:pStyle w:val="ListParagraph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702811" w:rsidRPr="00420612" w:rsidP="00702811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7</w:t>
            </w:r>
            <w:r w:rsidRPr="00420612" w:rsidR="004A734C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702811" w:rsidRPr="00420612" w:rsidP="00F94544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ғалымдар үшін қызметтік тұрғын үйдің болмауы</w:t>
            </w:r>
          </w:p>
        </w:tc>
        <w:tc>
          <w:tcPr>
            <w:tcW w:w="5245" w:type="dxa"/>
          </w:tcPr>
          <w:p w:rsidR="00DC6891" w:rsidRPr="00420612" w:rsidP="00F94544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«А.И.Бараев атындағы АШҒӨО» ЖШС жас ғалымдарға арналған, докторантура мен магистратурада оқуын аяқтаған жас шақырылған мамандардың тұруы үшін автономды жылыту жүйесі бар, ауданы 180 ш.м. арналған тұрғын үйді күрделі жөндеу</w:t>
            </w:r>
          </w:p>
        </w:tc>
        <w:tc>
          <w:tcPr>
            <w:tcW w:w="5670" w:type="dxa"/>
          </w:tcPr>
          <w:p w:rsidR="00702811" w:rsidRPr="00420612" w:rsidP="00702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</w:t>
            </w:r>
            <w:r w:rsidRPr="00420612" w:rsidR="00DC689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жылы</w:t>
            </w: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20612" w:rsidR="00DC689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қажет</w:t>
            </w: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32 млн.тенге.</w:t>
            </w:r>
          </w:p>
          <w:p w:rsidR="00702811" w:rsidRPr="00420612" w:rsidP="00702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A734C" w:rsidRPr="00420612" w:rsidP="007028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Нәтиже</w:t>
            </w:r>
            <w:r w:rsidRPr="00420612" w:rsidR="007028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420612" w:rsidR="00702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02811" w:rsidRPr="00420612" w:rsidP="00702811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АШҒӨО қызметкерлерінің штаттық құрамында жас мамандар пулын ұлғайту, жас мамандарды ауылға шақыру, ғылыми зерттеулердің сапасын арттыру</w:t>
            </w:r>
          </w:p>
        </w:tc>
      </w:tr>
      <w:tr w:rsidTr="00BF79FE">
        <w:tblPrEx>
          <w:tblW w:w="14029" w:type="dxa"/>
          <w:tblLook w:val="04A0"/>
        </w:tblPrEx>
        <w:tc>
          <w:tcPr>
            <w:tcW w:w="530" w:type="dxa"/>
          </w:tcPr>
          <w:p w:rsidR="00702811" w:rsidRPr="00420612" w:rsidP="00702811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8</w:t>
            </w:r>
            <w:r w:rsidRPr="00420612" w:rsidR="004A734C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4" w:type="dxa"/>
          </w:tcPr>
          <w:p w:rsidR="00702811" w:rsidRPr="00420612" w:rsidP="005F209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АШҒӨО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базасында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студенттердің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,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магистранттар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мен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докторанттардың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оқу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процесін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ұйымдастыру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үшін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қажетті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жағдайлардың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болмауы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702811" w:rsidRPr="00420612" w:rsidP="005F209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eastAsia="en-US"/>
              </w:rPr>
            </w:pP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АШҒӨО бас ғимаратының 2 қабатын білім беру процесін жүзеге асыру үшін зертханалар мен оқу сыныптарын құра отырып қайта жаңарту.</w:t>
            </w:r>
          </w:p>
        </w:tc>
        <w:tc>
          <w:tcPr>
            <w:tcW w:w="5670" w:type="dxa"/>
          </w:tcPr>
          <w:p w:rsidR="004A734C" w:rsidRPr="00420612" w:rsidP="004A73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2021 </w:t>
            </w:r>
            <w:r w:rsidRPr="00420612" w:rsidR="00566CF8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жылы қажет</w:t>
            </w:r>
            <w:r w:rsidRPr="004206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121,0 млн.тенге.</w:t>
            </w:r>
          </w:p>
          <w:p w:rsidR="004A734C" w:rsidRPr="00420612" w:rsidP="007028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4A734C" w:rsidRPr="00420612" w:rsidP="004A73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Нәтиже</w:t>
            </w:r>
            <w:r w:rsidRPr="004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:rsidR="00702811" w:rsidRPr="00420612" w:rsidP="00EE101E">
            <w:pPr>
              <w:jc w:val="both"/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</w:pPr>
            <w:r w:rsidRPr="00420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Жыл сайын </w:t>
            </w:r>
            <w:r w:rsidRPr="004206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АШҒӨО  базасында </w:t>
            </w:r>
            <w:r w:rsidRPr="00420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420612">
              <w:rPr>
                <w:rFonts w:ascii="Times New Roman" w:hAnsi="Times New Roman" w:eastAsiaTheme="minorHAnsi" w:cs="Times New Roman"/>
                <w:sz w:val="24"/>
                <w:szCs w:val="24"/>
                <w:lang w:val="kk-KZ" w:eastAsia="en-US"/>
              </w:rPr>
              <w:t>С.Сейфуллин атындағы КАТУ-дың 250-ден астам білім алушысы оқудан және 150-ден астам АӨК мамандары біліктілікті арттырудан өтеді.</w:t>
            </w:r>
          </w:p>
        </w:tc>
      </w:tr>
    </w:tbl>
    <w:p w:rsidR="00324464" w:rsidRPr="00420612" w:rsidP="00324464">
      <w:pPr>
        <w:spacing w:after="0" w:line="240" w:lineRule="auto"/>
        <w:ind w:firstLine="709"/>
        <w:jc w:val="both"/>
        <w:rPr>
          <w:rFonts w:ascii="Times New Roman" w:hAnsi="Times New Roman" w:eastAsiaTheme="minorHAnsi" w:cs="Times New Roman"/>
          <w:sz w:val="24"/>
          <w:szCs w:val="24"/>
          <w:lang w:val="kk-KZ" w:eastAsia="en-US"/>
        </w:rPr>
      </w:pPr>
    </w:p>
    <w:p w:rsidR="00324464" w:rsidRPr="00420612" w:rsidP="000F0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</w:p>
    <w:sectPr w:rsidSect="00BF79FE">
      <w:headerReference w:type="default" r:id="rId4"/>
      <w:pgSz w:w="16838" w:h="11906" w:orient="landscape"/>
      <w:pgMar w:top="1134" w:right="1134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12172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43D3" w:rsidRPr="00C243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4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43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4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9F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43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43D3" w:rsidRPr="00C243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2B1536"/>
    <w:multiLevelType w:val="hybridMultilevel"/>
    <w:tmpl w:val="B8C63C6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E4E06"/>
    <w:multiLevelType w:val="hybridMultilevel"/>
    <w:tmpl w:val="FAAE9822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83B0F"/>
    <w:multiLevelType w:val="hybridMultilevel"/>
    <w:tmpl w:val="FAAE9822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385061"/>
    <w:multiLevelType w:val="hybridMultilevel"/>
    <w:tmpl w:val="A2A2BE30"/>
    <w:lvl w:ilvl="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113E37"/>
    <w:multiLevelType w:val="hybridMultilevel"/>
    <w:tmpl w:val="49FE233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A7F1D"/>
    <w:multiLevelType w:val="hybridMultilevel"/>
    <w:tmpl w:val="A83ED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6F6"/>
    <w:rPr>
      <w:rFonts w:eastAsiaTheme="minorEastAsia"/>
      <w:lang w:eastAsia="ru-RU"/>
    </w:rPr>
  </w:style>
  <w:style w:type="paragraph" w:styleId="Heading5">
    <w:name w:val="heading 5"/>
    <w:basedOn w:val="Normal"/>
    <w:next w:val="Normal"/>
    <w:link w:val="5"/>
    <w:uiPriority w:val="99"/>
    <w:qFormat/>
    <w:rsid w:val="009B735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Абзац списка Знак"/>
    <w:aliases w:val="Bullet List Знак,Colorful List - Accent 11 Знак,FooterText Знак,Heading1 Знак,List Paragraph Знак,numbered Знак,маркированный Знак"/>
    <w:basedOn w:val="DefaultParagraphFont"/>
    <w:link w:val="ListParagraph0"/>
    <w:uiPriority w:val="34"/>
    <w:locked/>
    <w:rsid w:val="000F06F6"/>
  </w:style>
  <w:style w:type="paragraph" w:styleId="ListParagraph0">
    <w:name w:val="List Paragraph"/>
    <w:aliases w:val="Bullet List,Colorful List - Accent 11,FooterText,Heading1,List Paragraph_0,numbered,маркированный"/>
    <w:basedOn w:val="Normal"/>
    <w:link w:val="a"/>
    <w:uiPriority w:val="34"/>
    <w:qFormat/>
    <w:rsid w:val="000F06F6"/>
    <w:pPr>
      <w:ind w:left="720"/>
      <w:contextualSpacing/>
    </w:pPr>
    <w:rPr>
      <w:rFonts w:eastAsiaTheme="minorHAnsi"/>
      <w:lang w:eastAsia="en-US"/>
    </w:rPr>
  </w:style>
  <w:style w:type="paragraph" w:customStyle="1" w:styleId="j16">
    <w:name w:val="j16"/>
    <w:basedOn w:val="Normal"/>
    <w:rsid w:val="000F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06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Знак Знак Знак Знак Зн,Знак Знак1 Знак,Знак Знак1 Знак Знак,Знак4,Знак4 Знак,Знак4 Знак Знак,Обычный (Web),Обычный (Web)1,Обычный (веб) Знак Знак Знак,Обычный (веб) Знак Знак Знак Знак,Обычный (веб) Знак Знак1,Обычный (веб) Знак1"/>
    <w:basedOn w:val="Normal"/>
    <w:link w:val="a4"/>
    <w:uiPriority w:val="99"/>
    <w:unhideWhenUsed/>
    <w:qFormat/>
    <w:rsid w:val="00A3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писки"/>
    <w:basedOn w:val="ListParagraph0"/>
    <w:link w:val="a2"/>
    <w:qFormat/>
    <w:rsid w:val="007B3773"/>
    <w:pPr>
      <w:spacing w:after="0" w:line="240" w:lineRule="auto"/>
      <w:ind w:left="0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2">
    <w:name w:val="Списки Знак"/>
    <w:basedOn w:val="DefaultParagraphFont"/>
    <w:link w:val="a1"/>
    <w:rsid w:val="007B3773"/>
    <w:rPr>
      <w:rFonts w:ascii="Times New Roman" w:eastAsia="Calibri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C2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2790B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5">
    <w:name w:val="Заголовок 5 Знак"/>
    <w:basedOn w:val="DefaultParagraphFont"/>
    <w:link w:val="Heading5"/>
    <w:uiPriority w:val="99"/>
    <w:rsid w:val="009B7355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character" w:customStyle="1" w:styleId="a4">
    <w:name w:val="Обычный (веб) Знак"/>
    <w:aliases w:val="Знак Знак1 Знак Знак Знак,Знак Знак1 Знак Знак1,Знак4 Знак Знак Знак,Знак4 Знак Знак1,Знак4 Знак1,Обычный (Web) Знак,Обычный (Web)1 Знак,Обычный (веб) Знак Знак Знак Знак1,Обычный (веб) Знак Знак1 Знак,Обычный (веб) Знак1 Знак"/>
    <w:link w:val="NormalWeb"/>
    <w:locked/>
    <w:rsid w:val="009B7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5"/>
    <w:uiPriority w:val="99"/>
    <w:unhideWhenUsed/>
    <w:rsid w:val="00C2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C243D3"/>
    <w:rPr>
      <w:rFonts w:eastAsiaTheme="minorEastAsia"/>
      <w:lang w:eastAsia="ru-RU"/>
    </w:rPr>
  </w:style>
  <w:style w:type="paragraph" w:styleId="Footer">
    <w:name w:val="footer"/>
    <w:basedOn w:val="Normal"/>
    <w:link w:val="a6"/>
    <w:uiPriority w:val="99"/>
    <w:unhideWhenUsed/>
    <w:rsid w:val="00C24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C24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